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7" w:rsidRDefault="00AD01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0197" w:rsidRDefault="00AD0197">
      <w:pPr>
        <w:pStyle w:val="ConsPlusNormal"/>
        <w:jc w:val="both"/>
        <w:outlineLvl w:val="0"/>
      </w:pPr>
    </w:p>
    <w:p w:rsidR="00AD0197" w:rsidRDefault="00AD0197">
      <w:pPr>
        <w:pStyle w:val="ConsPlusTitle"/>
        <w:jc w:val="center"/>
        <w:outlineLvl w:val="0"/>
      </w:pPr>
      <w:r>
        <w:t>КАЛУЖСКАЯ ОБЛАСТЬ</w:t>
      </w:r>
    </w:p>
    <w:p w:rsidR="00AD0197" w:rsidRDefault="00AD0197">
      <w:pPr>
        <w:pStyle w:val="ConsPlusTitle"/>
        <w:jc w:val="center"/>
      </w:pPr>
      <w:r>
        <w:t>АДМИНИСТРАЦИЯ МУНИЦИПАЛЬНОГО РАЙОНА</w:t>
      </w:r>
    </w:p>
    <w:p w:rsidR="00AD0197" w:rsidRDefault="00AD0197">
      <w:pPr>
        <w:pStyle w:val="ConsPlusTitle"/>
        <w:jc w:val="center"/>
      </w:pPr>
      <w:r>
        <w:t>"МОСАЛЬСКИЙ РАЙОН"</w:t>
      </w:r>
    </w:p>
    <w:p w:rsidR="00AD0197" w:rsidRDefault="00AD0197">
      <w:pPr>
        <w:pStyle w:val="ConsPlusTitle"/>
        <w:jc w:val="both"/>
      </w:pPr>
    </w:p>
    <w:p w:rsidR="00AD0197" w:rsidRDefault="00AD0197">
      <w:pPr>
        <w:pStyle w:val="ConsPlusTitle"/>
        <w:jc w:val="center"/>
      </w:pPr>
      <w:r>
        <w:t>ПОСТАНОВЛЕНИЕ</w:t>
      </w:r>
    </w:p>
    <w:p w:rsidR="00AD0197" w:rsidRDefault="00AD0197">
      <w:pPr>
        <w:pStyle w:val="ConsPlusTitle"/>
        <w:jc w:val="center"/>
      </w:pPr>
      <w:r>
        <w:t>от 29 декабря 2023 г. N 621</w:t>
      </w:r>
    </w:p>
    <w:p w:rsidR="00AD0197" w:rsidRDefault="00AD0197">
      <w:pPr>
        <w:pStyle w:val="ConsPlusTitle"/>
        <w:jc w:val="both"/>
      </w:pPr>
    </w:p>
    <w:p w:rsidR="00AD0197" w:rsidRDefault="00AD0197">
      <w:pPr>
        <w:pStyle w:val="ConsPlusTitle"/>
        <w:jc w:val="center"/>
      </w:pPr>
      <w:r>
        <w:t>ОБ УТВЕРЖДЕНИИ МУНИЦИПАЛЬНОЙ ПРОГРАММЫ "РАЗВИТИЕ СИСТЕМЫ</w:t>
      </w:r>
    </w:p>
    <w:p w:rsidR="00AD0197" w:rsidRDefault="00AD0197">
      <w:pPr>
        <w:pStyle w:val="ConsPlusTitle"/>
        <w:jc w:val="center"/>
      </w:pPr>
      <w:r>
        <w:t>ОБРАЗОВАНИЯ МР "МОСАЛЬСКИЙ РАЙОН"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ст.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AD0197" w:rsidRDefault="00AD0197">
      <w:pPr>
        <w:pStyle w:val="ConsPlusNormal"/>
        <w:spacing w:before="220"/>
        <w:ind w:firstLine="540"/>
        <w:jc w:val="both"/>
      </w:pPr>
      <w:r>
        <w:t>ПОСТАНОВЛЯЕТ: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>"Развитие системы образования МР "Мосальский район" (приложение).</w:t>
      </w:r>
    </w:p>
    <w:p w:rsidR="00AD0197" w:rsidRDefault="00AD019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AD0197" w:rsidRDefault="00AD019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9 января 2024 года, подлежит опубликованию на официальном сайте администрации муниципального района "Мосальский район" http://www.adm-mosalsk.ru/, Государственной автоматизированной информационной системе "Управление"</w:t>
      </w:r>
      <w:hyperlink r:id="rId7">
        <w:r>
          <w:rPr>
            <w:color w:val="0000FF"/>
          </w:rPr>
          <w:t>https://gasu.gov.ru/</w:t>
        </w:r>
      </w:hyperlink>
      <w:r>
        <w:t>.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right"/>
      </w:pPr>
      <w:r>
        <w:t>Глава администрации</w:t>
      </w:r>
    </w:p>
    <w:p w:rsidR="00AD0197" w:rsidRDefault="00AD0197">
      <w:pPr>
        <w:pStyle w:val="ConsPlusNormal"/>
        <w:jc w:val="right"/>
      </w:pPr>
      <w:r>
        <w:t>муниципального района</w:t>
      </w:r>
    </w:p>
    <w:p w:rsidR="00AD0197" w:rsidRDefault="00AD0197">
      <w:pPr>
        <w:pStyle w:val="ConsPlusNormal"/>
        <w:jc w:val="right"/>
      </w:pPr>
      <w:r>
        <w:t>"Мосальский район"</w:t>
      </w:r>
    </w:p>
    <w:p w:rsidR="00AD0197" w:rsidRDefault="00AD0197">
      <w:pPr>
        <w:pStyle w:val="ConsPlusNormal"/>
        <w:jc w:val="right"/>
      </w:pPr>
      <w:r>
        <w:t>А.В.Кошелев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right"/>
        <w:outlineLvl w:val="0"/>
      </w:pPr>
      <w:r>
        <w:t>Приложение</w:t>
      </w:r>
    </w:p>
    <w:p w:rsidR="00AD0197" w:rsidRDefault="00AD0197">
      <w:pPr>
        <w:pStyle w:val="ConsPlusNormal"/>
        <w:jc w:val="right"/>
      </w:pPr>
      <w:r>
        <w:t>к Постановлению</w:t>
      </w:r>
    </w:p>
    <w:p w:rsidR="00AD0197" w:rsidRDefault="00AD0197">
      <w:pPr>
        <w:pStyle w:val="ConsPlusNormal"/>
        <w:jc w:val="right"/>
      </w:pPr>
      <w:r>
        <w:t>администрации</w:t>
      </w:r>
    </w:p>
    <w:p w:rsidR="00AD0197" w:rsidRDefault="00AD0197">
      <w:pPr>
        <w:pStyle w:val="ConsPlusNormal"/>
        <w:jc w:val="right"/>
      </w:pPr>
      <w:r>
        <w:t>МР "Мосальский район"</w:t>
      </w:r>
    </w:p>
    <w:p w:rsidR="00AD0197" w:rsidRDefault="00AD0197">
      <w:pPr>
        <w:pStyle w:val="ConsPlusNormal"/>
        <w:jc w:val="right"/>
      </w:pPr>
      <w:r>
        <w:t>от 29 декабря 2023 г. N 621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Title"/>
        <w:jc w:val="center"/>
        <w:outlineLvl w:val="1"/>
      </w:pPr>
      <w:bookmarkStart w:id="0" w:name="P33"/>
      <w:bookmarkEnd w:id="0"/>
      <w:r>
        <w:t>ПАСПОРТ</w:t>
      </w:r>
    </w:p>
    <w:p w:rsidR="00AD0197" w:rsidRDefault="00AD0197">
      <w:pPr>
        <w:pStyle w:val="ConsPlusTitle"/>
        <w:jc w:val="center"/>
      </w:pPr>
      <w:r>
        <w:t>муниципальной программы "Развитие системы образования</w:t>
      </w:r>
    </w:p>
    <w:p w:rsidR="00AD0197" w:rsidRDefault="00AD0197">
      <w:pPr>
        <w:pStyle w:val="ConsPlusTitle"/>
        <w:jc w:val="center"/>
      </w:pPr>
      <w:r>
        <w:t>МР "Мосальский район"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sectPr w:rsidR="00AD0197" w:rsidSect="00AA6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894"/>
        <w:gridCol w:w="1264"/>
        <w:gridCol w:w="1264"/>
        <w:gridCol w:w="1264"/>
        <w:gridCol w:w="1264"/>
        <w:gridCol w:w="1264"/>
        <w:gridCol w:w="1264"/>
        <w:gridCol w:w="1264"/>
      </w:tblGrid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</w:tr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Муниципальные казенные общеобразовательные учреждения, муниципальные казенные учреждения дошкольного и дополнительного образования</w:t>
            </w:r>
          </w:p>
        </w:tc>
      </w:tr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Стратегическая цель: повышение доступности качественного образования, соответствующего требованиям инновационного социально ориентированного развития экономики и современным потребностям каждого жителя МР "Мосальский район"</w:t>
            </w:r>
          </w:p>
        </w:tc>
      </w:tr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1. Создание условий для модернизации содержания образования, внедрения стандартов, современных образовательных технологий, обеспечивающих доступность качественного образования и успешную социализацию воспитанников и обучающихся:</w:t>
            </w:r>
          </w:p>
          <w:p w:rsidR="00AD0197" w:rsidRDefault="00AD0197">
            <w:pPr>
              <w:pStyle w:val="ConsPlusNormal"/>
            </w:pPr>
            <w:r>
              <w:t>1.1. Достижение нового образовательного результата.</w:t>
            </w:r>
          </w:p>
          <w:p w:rsidR="00AD0197" w:rsidRDefault="00AD0197">
            <w:pPr>
              <w:pStyle w:val="ConsPlusNormal"/>
            </w:pPr>
            <w:r>
              <w:t>1.2. Создание открытой развивающей среды, обеспечивающей удовлетворение индивидуальных образовательных потребностей воспитанников и обучающихся, построение индивидуальных образовательных траекторий, образовательных запросов социума.</w:t>
            </w:r>
          </w:p>
          <w:p w:rsidR="00AD0197" w:rsidRDefault="00AD0197">
            <w:pPr>
              <w:pStyle w:val="ConsPlusNormal"/>
            </w:pPr>
            <w:r>
              <w:t>1.3. Создание безопасных и комфортных условий для обучения и воспитания.</w:t>
            </w:r>
          </w:p>
          <w:p w:rsidR="00AD0197" w:rsidRDefault="00AD0197">
            <w:pPr>
              <w:pStyle w:val="ConsPlusNormal"/>
            </w:pPr>
            <w:r>
              <w:t>1.4. Развитие единого информационного пространства на основе ИКТ-технологий.</w:t>
            </w:r>
          </w:p>
          <w:p w:rsidR="00AD0197" w:rsidRDefault="00AD0197">
            <w:pPr>
              <w:pStyle w:val="ConsPlusNormal"/>
            </w:pPr>
            <w:r>
              <w:t>2. Создание условий, направленных на повышение воспитательного потенциала образовательных учреждений всех типов и видов:</w:t>
            </w:r>
          </w:p>
          <w:p w:rsidR="00AD0197" w:rsidRDefault="00AD0197">
            <w:pPr>
              <w:pStyle w:val="ConsPlusNormal"/>
            </w:pPr>
            <w:r>
              <w:t>2.1. Создание условий, обеспечивающих систему работы по развитию духовности, формированию гражданственности и активной жизненной позиции обучающихся и воспитанников.</w:t>
            </w:r>
          </w:p>
          <w:p w:rsidR="00AD0197" w:rsidRDefault="00AD0197">
            <w:pPr>
              <w:pStyle w:val="ConsPlusNormal"/>
            </w:pPr>
            <w:r>
              <w:t>2.2. Предупреждение безнадзорности, беспризорности, правонарушений и антиобщественных действий несовершеннолетних.</w:t>
            </w:r>
          </w:p>
          <w:p w:rsidR="00AD0197" w:rsidRDefault="00AD0197">
            <w:pPr>
              <w:pStyle w:val="ConsPlusNormal"/>
            </w:pPr>
            <w:r>
              <w:t>2.3. Социальная поддержка детей-сирот и детей, оставшихся без попечения родителей, переданных на воспитание в семьи граждан Российской Федерации.</w:t>
            </w:r>
          </w:p>
          <w:p w:rsidR="00AD0197" w:rsidRDefault="00AD0197">
            <w:pPr>
              <w:pStyle w:val="ConsPlusNormal"/>
            </w:pPr>
            <w:r>
              <w:t>3. 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кадров:</w:t>
            </w:r>
          </w:p>
          <w:p w:rsidR="00AD0197" w:rsidRDefault="00AD0197">
            <w:pPr>
              <w:pStyle w:val="ConsPlusNormal"/>
            </w:pPr>
            <w:r>
              <w:t>3.1. Реализация новой модели развития и оценки профессионального мастерства педагогических и руководящих кадров.</w:t>
            </w:r>
          </w:p>
          <w:p w:rsidR="00AD0197" w:rsidRDefault="00AD0197">
            <w:pPr>
              <w:pStyle w:val="ConsPlusNormal"/>
            </w:pPr>
            <w:r>
              <w:lastRenderedPageBreak/>
              <w:t>3.2. Развитие системы стимулирования успешной профессиональной деятельности руководящих и педагогических кадров.</w:t>
            </w:r>
          </w:p>
          <w:p w:rsidR="00AD0197" w:rsidRDefault="00AD0197">
            <w:pPr>
              <w:pStyle w:val="ConsPlusNormal"/>
            </w:pPr>
            <w:r>
              <w:t>3.3. Развитие новых форм повышения квалификации.</w:t>
            </w:r>
          </w:p>
          <w:p w:rsidR="00AD0197" w:rsidRDefault="00AD0197">
            <w:pPr>
              <w:pStyle w:val="ConsPlusNormal"/>
            </w:pPr>
            <w:r>
              <w:t>4. Введение инновационных механизмов управления качеством образования:</w:t>
            </w:r>
          </w:p>
          <w:p w:rsidR="00AD0197" w:rsidRDefault="00AD0197">
            <w:pPr>
              <w:pStyle w:val="ConsPlusNormal"/>
            </w:pPr>
            <w:r>
              <w:t>4.1. Развитие экономической самостоятельности образовательных учреждений.</w:t>
            </w:r>
          </w:p>
          <w:p w:rsidR="00AD0197" w:rsidRDefault="00AD0197">
            <w:pPr>
              <w:pStyle w:val="ConsPlusNormal"/>
            </w:pPr>
            <w:r>
              <w:t>4.2. Повышение эффективности управления в системе образования</w:t>
            </w:r>
          </w:p>
        </w:tc>
      </w:tr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услуге, %.</w:t>
            </w:r>
          </w:p>
          <w:p w:rsidR="00AD0197" w:rsidRDefault="00AD0197">
            <w:pPr>
              <w:pStyle w:val="ConsPlusNormal"/>
            </w:pPr>
            <w:r>
              <w:t>2. Доля детей получающих льготу по плате за присмотр и уход в дошкольных учреждениях за счет средств бюджета муниципального образования, %.</w:t>
            </w:r>
          </w:p>
          <w:p w:rsidR="00AD0197" w:rsidRDefault="00AD0197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обучающихся, %.</w:t>
            </w:r>
          </w:p>
          <w:p w:rsidR="00AD0197" w:rsidRDefault="00AD0197">
            <w:pPr>
              <w:pStyle w:val="ConsPlusNormal"/>
            </w:pPr>
            <w:r>
              <w:t>4. Доля учреждений реализующих программы дошкольного образования, оснащенных в соответствии с современными требованиями, %.</w:t>
            </w:r>
          </w:p>
          <w:p w:rsidR="00AD0197" w:rsidRDefault="00AD0197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области, %.</w:t>
            </w:r>
          </w:p>
          <w:p w:rsidR="00AD0197" w:rsidRDefault="00AD0197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области, %.</w:t>
            </w:r>
          </w:p>
          <w:p w:rsidR="00AD0197" w:rsidRDefault="00AD0197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области, %.</w:t>
            </w:r>
          </w:p>
          <w:p w:rsidR="00AD0197" w:rsidRDefault="00AD0197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опрошенных, %.</w:t>
            </w:r>
          </w:p>
          <w:p w:rsidR="00AD0197" w:rsidRDefault="00AD0197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%.</w:t>
            </w:r>
          </w:p>
          <w:p w:rsidR="00AD0197" w:rsidRDefault="00AD0197">
            <w:pPr>
              <w:pStyle w:val="ConsPlusNormal"/>
            </w:pPr>
            <w:r>
              <w:t>10. Доля детей, подростков, охваченных основными формами отдыха и оздоровления в общем количестве детей, подростков, %.</w:t>
            </w:r>
          </w:p>
          <w:p w:rsidR="00AD0197" w:rsidRDefault="00AD0197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 в общем количестве детей и подростков, %.</w:t>
            </w:r>
          </w:p>
          <w:p w:rsidR="00AD0197" w:rsidRDefault="00AD0197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возраста, %.</w:t>
            </w:r>
          </w:p>
          <w:p w:rsidR="00AD0197" w:rsidRDefault="00AD0197">
            <w:pPr>
              <w:pStyle w:val="ConsPlusNormal"/>
            </w:pPr>
            <w:r>
              <w:t>13. Доля обучающихся охваченных горячим питанием в общеобразовательных учреждениях, в общем количестве обучающихся в общеобразовательных учреждениях, %.</w:t>
            </w:r>
          </w:p>
          <w:p w:rsidR="00AD0197" w:rsidRDefault="00AD0197">
            <w:pPr>
              <w:pStyle w:val="ConsPlusNormal"/>
            </w:pPr>
            <w:r>
              <w:t xml:space="preserve">14. Доля педагогов, прошедших профессиональную подготовку, переподготовку и повышение квалификации, в </w:t>
            </w:r>
            <w:r>
              <w:lastRenderedPageBreak/>
              <w:t>общем количестве педагогических работников, %.</w:t>
            </w:r>
          </w:p>
          <w:p w:rsidR="00AD0197" w:rsidRDefault="00AD0197">
            <w:pPr>
              <w:pStyle w:val="ConsPlusNormal"/>
            </w:pPr>
            <w:r>
              <w:t>15. Доля педагогических работников, имеющих высшую и первую квалификационные категории, в общем числе педагогических работников муниципальных образовательных организаций, %.</w:t>
            </w:r>
          </w:p>
          <w:p w:rsidR="00AD0197" w:rsidRDefault="00AD0197">
            <w:pPr>
              <w:pStyle w:val="ConsPlusNormal"/>
            </w:pPr>
            <w:r>
              <w:t>16. Доля доступных для инвалидов объектов образования в их общем количестве, %</w:t>
            </w:r>
          </w:p>
        </w:tc>
      </w:tr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2021 - 2026, в один этап</w:t>
            </w:r>
          </w:p>
        </w:tc>
      </w:tr>
      <w:tr w:rsidR="00AD0197">
        <w:tc>
          <w:tcPr>
            <w:tcW w:w="2268" w:type="dxa"/>
            <w:vMerge w:val="restart"/>
          </w:tcPr>
          <w:p w:rsidR="00AD0197" w:rsidRDefault="00AD0197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94" w:type="dxa"/>
            <w:vMerge w:val="restart"/>
          </w:tcPr>
          <w:p w:rsidR="00AD0197" w:rsidRDefault="00AD0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AD0197" w:rsidRDefault="00AD019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7584" w:type="dxa"/>
            <w:gridSpan w:val="6"/>
          </w:tcPr>
          <w:p w:rsidR="00AD0197" w:rsidRDefault="00AD0197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D0197">
        <w:tc>
          <w:tcPr>
            <w:tcW w:w="2268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894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2026</w:t>
            </w:r>
          </w:p>
        </w:tc>
      </w:tr>
      <w:tr w:rsidR="00AD0197">
        <w:tc>
          <w:tcPr>
            <w:tcW w:w="2268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904363,303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198753,948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215486,144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191724,728</w:t>
            </w:r>
          </w:p>
        </w:tc>
      </w:tr>
      <w:tr w:rsidR="00AD0197">
        <w:tc>
          <w:tcPr>
            <w:tcW w:w="2268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2268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631362,003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106694,505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123738,456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146626,979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124395,501</w:t>
            </w:r>
          </w:p>
        </w:tc>
      </w:tr>
      <w:tr w:rsidR="00AD0197">
        <w:tc>
          <w:tcPr>
            <w:tcW w:w="2268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273001,3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  <w:tr w:rsidR="00AD0197">
        <w:tc>
          <w:tcPr>
            <w:tcW w:w="2268" w:type="dxa"/>
          </w:tcPr>
          <w:p w:rsidR="00AD0197" w:rsidRDefault="00AD0197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0742" w:type="dxa"/>
            <w:gridSpan w:val="8"/>
          </w:tcPr>
          <w:p w:rsidR="00AD0197" w:rsidRDefault="00AD0197">
            <w:pPr>
              <w:pStyle w:val="ConsPlusNormal"/>
            </w:pPr>
            <w:r>
              <w:t>1. Доля детей в возрасте от трех до семи лет, получающих услугу дошкольного образования, в общем количестве детей этого возраста, нуждающихся в данной услуге составит 100%.</w:t>
            </w:r>
          </w:p>
          <w:p w:rsidR="00AD0197" w:rsidRDefault="00AD0197">
            <w:pPr>
              <w:pStyle w:val="ConsPlusNormal"/>
            </w:pPr>
            <w:r>
              <w:t>2. Доля детей получающих льготу по плате за присмотр и уход в дошкольных учреждениях за счет средств бюджета муниципального образования составит 40%.</w:t>
            </w:r>
          </w:p>
          <w:p w:rsidR="00AD0197" w:rsidRDefault="00AD0197">
            <w:pPr>
              <w:pStyle w:val="ConsPlusNormal"/>
            </w:pPr>
            <w:r>
              <w:t>3. Доля обучающихся в общеобразовательных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составит 100%.</w:t>
            </w:r>
          </w:p>
          <w:p w:rsidR="00AD0197" w:rsidRDefault="00AD0197">
            <w:pPr>
              <w:pStyle w:val="ConsPlusNormal"/>
            </w:pPr>
            <w:r>
              <w:t xml:space="preserve">4. Доля учреждений реализующих программы дошкольного образования, оснащенных в соответствии с </w:t>
            </w:r>
            <w:r>
              <w:lastRenderedPageBreak/>
              <w:t>современными требованиями составит 100%.</w:t>
            </w:r>
          </w:p>
          <w:p w:rsidR="00AD0197" w:rsidRDefault="00AD0197">
            <w:pPr>
              <w:pStyle w:val="ConsPlusNormal"/>
            </w:pPr>
            <w:r>
              <w:t>5. Соотношение средней заработной платы педагогических работников общеобразовательных организаций и средней заработной платы в Калужской области составит 100%.</w:t>
            </w:r>
          </w:p>
          <w:p w:rsidR="00AD0197" w:rsidRDefault="00AD0197">
            <w:pPr>
              <w:pStyle w:val="ConsPlusNormal"/>
            </w:pPr>
            <w:r>
              <w:t>6. Соотношение средней заработной платы педагогических работников дошкольных образовательных организаций и средней заработной платы в сфере общего образования в Калужской области составит 100%.</w:t>
            </w:r>
          </w:p>
          <w:p w:rsidR="00AD0197" w:rsidRDefault="00AD0197">
            <w:pPr>
              <w:pStyle w:val="ConsPlusNormal"/>
            </w:pPr>
            <w:r>
              <w:t>7. Соотношение средней заработной платы педагогических работников организаций дополнительного образования детей и средней заработной платы в Калужской области составит 100%.</w:t>
            </w:r>
          </w:p>
          <w:p w:rsidR="00AD0197" w:rsidRDefault="00AD0197">
            <w:pPr>
              <w:pStyle w:val="ConsPlusNormal"/>
            </w:pPr>
            <w:r>
              <w:t>8. Доля получателей государственной услуги в сфере образования, удовлетворенных полнотой и качеством этой услуги, в общем количестве опрошенных составит 95%.</w:t>
            </w:r>
          </w:p>
          <w:p w:rsidR="00AD0197" w:rsidRDefault="00AD0197">
            <w:pPr>
              <w:pStyle w:val="ConsPlusNormal"/>
            </w:pPr>
            <w:r>
              <w:t>9.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85%.</w:t>
            </w:r>
          </w:p>
          <w:p w:rsidR="00AD0197" w:rsidRDefault="00AD0197">
            <w:pPr>
              <w:pStyle w:val="ConsPlusNormal"/>
            </w:pPr>
            <w:r>
              <w:t>10. Доля детей, подростков, охваченных основными формами отдыха и оздоровления в общем количестве детей, подростков составит 70%.</w:t>
            </w:r>
          </w:p>
          <w:p w:rsidR="00AD0197" w:rsidRDefault="00AD0197">
            <w:pPr>
              <w:pStyle w:val="ConsPlusNormal"/>
            </w:pPr>
            <w:r>
              <w:t>11. Доля детей и подростков, охваченных дополнительной занятостью в каникулярное время в общем количестве детей и подростков составит 10%.</w:t>
            </w:r>
          </w:p>
          <w:p w:rsidR="00AD0197" w:rsidRDefault="00AD0197">
            <w:pPr>
              <w:pStyle w:val="ConsPlusNormal"/>
            </w:pPr>
            <w:r>
              <w:t>12. Доля детей в возрасте от пяти до восемнадцати лет, обучающихся по дополнительным образовательным программам, в общей численности детей этого возраста 95%.</w:t>
            </w:r>
          </w:p>
          <w:p w:rsidR="00AD0197" w:rsidRDefault="00AD0197">
            <w:pPr>
              <w:pStyle w:val="ConsPlusNormal"/>
            </w:pPr>
            <w:r>
              <w:t>13. Доля детей, охваченных бесплатным питанием, из многодетных семей, в общем количестве детей указанной категории составит 100%.</w:t>
            </w:r>
          </w:p>
          <w:p w:rsidR="00AD0197" w:rsidRDefault="00AD0197">
            <w:pPr>
              <w:pStyle w:val="ConsPlusNormal"/>
            </w:pPr>
            <w:r>
              <w:t>14. Доля обучающихся охваченных горячим питанием в общеобразовательных учреждениях, в общем количестве обучающихся в общеобразовательных учреждениях составит 100%.</w:t>
            </w:r>
          </w:p>
          <w:p w:rsidR="00AD0197" w:rsidRDefault="00AD0197">
            <w:pPr>
              <w:pStyle w:val="ConsPlusNormal"/>
            </w:pPr>
            <w:r>
              <w:t>15. Доля педагогов, прошедших профессиональную подготовку, переподготовку и повышение квалификации, в общем количестве педагогических работников составит 50%.</w:t>
            </w:r>
          </w:p>
          <w:p w:rsidR="00AD0197" w:rsidRDefault="00AD0197">
            <w:pPr>
              <w:pStyle w:val="ConsPlusNormal"/>
            </w:pPr>
            <w:r>
              <w:t>16. Доля доступных для инвалидов объектов образования в их общем количестве составит 87,5%</w:t>
            </w:r>
          </w:p>
        </w:tc>
      </w:tr>
    </w:tbl>
    <w:p w:rsidR="00AD0197" w:rsidRDefault="00AD0197">
      <w:pPr>
        <w:pStyle w:val="ConsPlusNormal"/>
        <w:jc w:val="both"/>
      </w:pPr>
    </w:p>
    <w:p w:rsidR="00AD0197" w:rsidRDefault="00AD0197">
      <w:pPr>
        <w:pStyle w:val="ConsPlusTitle"/>
        <w:jc w:val="center"/>
        <w:outlineLvl w:val="1"/>
      </w:pPr>
      <w:r>
        <w:t>4. Общий объем финансовых ресурсов, необходимых</w:t>
      </w:r>
    </w:p>
    <w:p w:rsidR="00AD0197" w:rsidRDefault="00AD0197">
      <w:pPr>
        <w:pStyle w:val="ConsPlusTitle"/>
        <w:jc w:val="center"/>
      </w:pPr>
      <w:r>
        <w:t>для реализации муниципальной программы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right"/>
      </w:pPr>
      <w:r>
        <w:t>(тыс. руб. в ценах каждого года)</w:t>
      </w:r>
    </w:p>
    <w:p w:rsidR="00AD0197" w:rsidRDefault="00AD019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4"/>
        <w:gridCol w:w="1264"/>
        <w:gridCol w:w="1264"/>
        <w:gridCol w:w="1264"/>
        <w:gridCol w:w="1264"/>
        <w:gridCol w:w="1264"/>
        <w:gridCol w:w="1264"/>
        <w:gridCol w:w="1264"/>
      </w:tblGrid>
      <w:tr w:rsidR="00AD0197">
        <w:tc>
          <w:tcPr>
            <w:tcW w:w="1894" w:type="dxa"/>
            <w:vMerge w:val="restart"/>
          </w:tcPr>
          <w:p w:rsidR="00AD0197" w:rsidRDefault="00AD0197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264" w:type="dxa"/>
            <w:vMerge w:val="restart"/>
          </w:tcPr>
          <w:p w:rsidR="00AD0197" w:rsidRDefault="00AD019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7584" w:type="dxa"/>
            <w:gridSpan w:val="6"/>
          </w:tcPr>
          <w:p w:rsidR="00AD0197" w:rsidRDefault="00AD0197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D0197">
        <w:tc>
          <w:tcPr>
            <w:tcW w:w="1894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2026</w:t>
            </w:r>
          </w:p>
        </w:tc>
      </w:tr>
      <w:tr w:rsidR="00AD0197"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904363,303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198753,948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215486,144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191724,728</w:t>
            </w:r>
          </w:p>
        </w:tc>
      </w:tr>
      <w:tr w:rsidR="00AD0197"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631362,003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106694,505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123738,456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146626,979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124395,501</w:t>
            </w:r>
          </w:p>
        </w:tc>
      </w:tr>
      <w:tr w:rsidR="00AD0197">
        <w:tc>
          <w:tcPr>
            <w:tcW w:w="1894" w:type="dxa"/>
          </w:tcPr>
          <w:p w:rsidR="00AD0197" w:rsidRDefault="00AD0197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273001,3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</w:tbl>
    <w:p w:rsidR="00AD0197" w:rsidRDefault="00AD0197">
      <w:pPr>
        <w:pStyle w:val="ConsPlusNormal"/>
        <w:jc w:val="both"/>
      </w:pPr>
    </w:p>
    <w:p w:rsidR="00AD0197" w:rsidRDefault="00AD0197">
      <w:pPr>
        <w:pStyle w:val="ConsPlusTitle"/>
        <w:jc w:val="center"/>
        <w:outlineLvl w:val="2"/>
      </w:pPr>
      <w:r>
        <w:t>4.1. Обоснование объема финансовых ресурсов необходимых</w:t>
      </w:r>
    </w:p>
    <w:p w:rsidR="00AD0197" w:rsidRDefault="00AD0197">
      <w:pPr>
        <w:pStyle w:val="ConsPlusTitle"/>
        <w:jc w:val="center"/>
      </w:pPr>
      <w:r>
        <w:t>для реализации муниципальной программы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right"/>
      </w:pPr>
      <w:r>
        <w:t>(тыс. руб.)</w:t>
      </w:r>
    </w:p>
    <w:p w:rsidR="00AD0197" w:rsidRDefault="00AD019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264"/>
        <w:gridCol w:w="1264"/>
        <w:gridCol w:w="1264"/>
        <w:gridCol w:w="1264"/>
        <w:gridCol w:w="1264"/>
        <w:gridCol w:w="1264"/>
      </w:tblGrid>
      <w:tr w:rsidR="00AD0197">
        <w:tc>
          <w:tcPr>
            <w:tcW w:w="567" w:type="dxa"/>
            <w:vMerge w:val="restart"/>
          </w:tcPr>
          <w:p w:rsidR="00AD0197" w:rsidRDefault="00AD01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  <w:vMerge w:val="restart"/>
          </w:tcPr>
          <w:p w:rsidR="00AD0197" w:rsidRDefault="00AD0197">
            <w:pPr>
              <w:pStyle w:val="ConsPlusNormal"/>
              <w:jc w:val="center"/>
            </w:pPr>
            <w:r>
              <w:t xml:space="preserve">Наименование показателей </w:t>
            </w:r>
            <w:hyperlink w:anchor="P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84" w:type="dxa"/>
            <w:gridSpan w:val="6"/>
          </w:tcPr>
          <w:p w:rsidR="00AD0197" w:rsidRDefault="00AD0197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AD0197">
        <w:tc>
          <w:tcPr>
            <w:tcW w:w="567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  <w:vMerge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center"/>
            </w:pPr>
            <w:r>
              <w:t>2026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198753,948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215486,144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191724,728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Суммарное значение финансовых ресурсов, всего (1+2)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 xml:space="preserve">- средства областного </w:t>
            </w:r>
            <w:r>
              <w:lastRenderedPageBreak/>
              <w:t>бюджета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lastRenderedPageBreak/>
              <w:t>106694,505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123738,456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146626,979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124395,501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Из общего объема: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Процессные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198753,948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215486,144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191724,728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158409,996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149407,002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172390,260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198753,948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215486,144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191724,728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106694,505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104879,838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123292,592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123738,456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146626,979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124395,501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51715,48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44527,164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Проектные (бюджет развития)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Наименование единицы измерения (тыс. руб.)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 xml:space="preserve">Объем финансовых </w:t>
            </w:r>
            <w:r>
              <w:lastRenderedPageBreak/>
              <w:t>ресурсов, итого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lastRenderedPageBreak/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1000,00</w:t>
            </w:r>
          </w:p>
        </w:tc>
      </w:tr>
      <w:tr w:rsidR="00AD0197">
        <w:tc>
          <w:tcPr>
            <w:tcW w:w="10816" w:type="dxa"/>
            <w:gridSpan w:val="8"/>
          </w:tcPr>
          <w:p w:rsidR="00AD0197" w:rsidRDefault="00AD0197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  <w:tc>
          <w:tcPr>
            <w:tcW w:w="1264" w:type="dxa"/>
          </w:tcPr>
          <w:p w:rsidR="00AD0197" w:rsidRDefault="00AD0197">
            <w:pPr>
              <w:pStyle w:val="ConsPlusNormal"/>
            </w:pPr>
          </w:p>
        </w:tc>
      </w:tr>
      <w:tr w:rsidR="00AD0197">
        <w:tc>
          <w:tcPr>
            <w:tcW w:w="567" w:type="dxa"/>
          </w:tcPr>
          <w:p w:rsidR="00AD0197" w:rsidRDefault="00AD0197">
            <w:pPr>
              <w:pStyle w:val="ConsPlusNormal"/>
            </w:pPr>
          </w:p>
        </w:tc>
        <w:tc>
          <w:tcPr>
            <w:tcW w:w="2665" w:type="dxa"/>
          </w:tcPr>
          <w:p w:rsidR="00AD0197" w:rsidRDefault="00AD0197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50715,48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43527,164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49097,668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75015,492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68859,165</w:t>
            </w:r>
          </w:p>
        </w:tc>
        <w:tc>
          <w:tcPr>
            <w:tcW w:w="1264" w:type="dxa"/>
          </w:tcPr>
          <w:p w:rsidR="00AD0197" w:rsidRDefault="00AD0197">
            <w:pPr>
              <w:pStyle w:val="ConsPlusNormal"/>
              <w:jc w:val="right"/>
            </w:pPr>
            <w:r>
              <w:t>67329,227</w:t>
            </w:r>
          </w:p>
        </w:tc>
      </w:tr>
    </w:tbl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ind w:firstLine="540"/>
        <w:jc w:val="both"/>
      </w:pPr>
      <w:r>
        <w:t>--------------------------------</w:t>
      </w:r>
    </w:p>
    <w:p w:rsidR="00AD0197" w:rsidRDefault="00AD0197">
      <w:pPr>
        <w:pStyle w:val="ConsPlusNormal"/>
        <w:spacing w:before="220"/>
        <w:ind w:firstLine="540"/>
        <w:jc w:val="both"/>
      </w:pPr>
      <w:bookmarkStart w:id="1" w:name="P417"/>
      <w:bookmarkEnd w:id="1"/>
      <w:r>
        <w:t>&lt;*&gt; В случае отсутствия информации - строки удаляются;</w:t>
      </w:r>
    </w:p>
    <w:p w:rsidR="00AD0197" w:rsidRDefault="00AD0197">
      <w:pPr>
        <w:pStyle w:val="ConsPlusNormal"/>
        <w:spacing w:before="220"/>
        <w:ind w:firstLine="540"/>
        <w:jc w:val="both"/>
      </w:pPr>
      <w:r>
        <w:t>&lt;**&gt; указываются источники финансирования.</w:t>
      </w: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jc w:val="both"/>
      </w:pPr>
    </w:p>
    <w:p w:rsidR="00AD0197" w:rsidRDefault="00AD01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C2508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197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6619FF"/>
    <w:rsid w:val="008635CB"/>
    <w:rsid w:val="00974057"/>
    <w:rsid w:val="00A0757E"/>
    <w:rsid w:val="00A910F0"/>
    <w:rsid w:val="00A913F8"/>
    <w:rsid w:val="00AD0197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DD58B9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1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su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185&amp;dst=101140" TargetMode="External"/><Relationship Id="rId5" Type="http://schemas.openxmlformats.org/officeDocument/2006/relationships/hyperlink" Target="https://login.consultant.ru/link/?req=doc&amp;base=RLAW037&amp;n=164185&amp;dst=1011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1838</Words>
  <Characters>10478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2025-02-19T12:15:00Z</dcterms:created>
  <dcterms:modified xsi:type="dcterms:W3CDTF">2025-02-19T12:15:00Z</dcterms:modified>
</cp:coreProperties>
</file>