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D7C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013C47">
        <w:rPr>
          <w:bCs/>
        </w:rPr>
        <w:t>0</w:t>
      </w:r>
      <w:r w:rsidR="004950FC">
        <w:rPr>
          <w:bCs/>
        </w:rPr>
        <w:t>3</w:t>
      </w:r>
      <w:r w:rsidR="00775BD5">
        <w:rPr>
          <w:bCs/>
        </w:rPr>
        <w:t xml:space="preserve"> </w:t>
      </w:r>
      <w:r w:rsidR="004950FC">
        <w:rPr>
          <w:bCs/>
        </w:rPr>
        <w:t>апреля</w:t>
      </w:r>
      <w:r w:rsidRPr="00D9678B">
        <w:rPr>
          <w:bCs/>
        </w:rPr>
        <w:t xml:space="preserve"> 202</w:t>
      </w:r>
      <w:r w:rsidR="00013C47">
        <w:rPr>
          <w:bCs/>
        </w:rPr>
        <w:t>3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</w:t>
      </w:r>
      <w:r w:rsidR="004950FC">
        <w:rPr>
          <w:bCs/>
        </w:rPr>
        <w:t>121</w:t>
      </w:r>
      <w:bookmarkStart w:id="0" w:name="_GoBack"/>
      <w:bookmarkEnd w:id="0"/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82748D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190D39" w:rsidRDefault="00A035F5" w:rsidP="001829F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521 790,29014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82748D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A1" w:rsidRPr="00D9678B" w:rsidRDefault="00507605" w:rsidP="002709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  <w:r w:rsidR="0027096F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430</w:t>
            </w:r>
            <w:r w:rsidR="0027096F">
              <w:rPr>
                <w:b/>
                <w:bCs/>
                <w:sz w:val="16"/>
                <w:szCs w:val="16"/>
              </w:rPr>
              <w:t>,848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A035F5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190D39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507605" w:rsidP="0027096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27096F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531</w:t>
            </w:r>
            <w:r w:rsidR="0027096F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839</w:t>
            </w:r>
            <w:r w:rsidR="0027096F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A035F5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481 349,64313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27096F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A035F5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83 646,424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F11AA7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F11AA7" w:rsidRPr="00D9678B" w:rsidRDefault="00F11AA7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D9678B">
        <w:t xml:space="preserve"> гражданам, зарегистрированным на территории Мосальского района.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>от 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lastRenderedPageBreak/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</w:t>
      </w:r>
      <w:r w:rsidR="0065719E" w:rsidRPr="00CE6424">
        <w:lastRenderedPageBreak/>
        <w:t xml:space="preserve">муниципальной бане» </w:t>
      </w:r>
      <w:r w:rsidRPr="00CE6424">
        <w:t xml:space="preserve"> </w:t>
      </w:r>
      <w:r w:rsidR="000F69FE">
        <w:t xml:space="preserve">(отменено с 01.02.2023), </w:t>
      </w:r>
      <w:r w:rsidR="000F69FE" w:rsidRPr="00CE6424">
        <w:t>Решения Районного Собрания муниципальног</w:t>
      </w:r>
      <w:r w:rsidR="000F69FE">
        <w:t>о района «Мосальский район» от 31</w:t>
      </w:r>
      <w:r w:rsidR="000F69FE" w:rsidRPr="00CE6424">
        <w:t>.</w:t>
      </w:r>
      <w:r w:rsidR="000F69FE">
        <w:t>01</w:t>
      </w:r>
      <w:r w:rsidR="000F69FE" w:rsidRPr="00CE6424">
        <w:t>.202</w:t>
      </w:r>
      <w:r w:rsidR="000F69FE">
        <w:t>3</w:t>
      </w:r>
      <w:r w:rsidR="000F69FE" w:rsidRPr="00CE6424">
        <w:t xml:space="preserve"> № </w:t>
      </w:r>
      <w:r w:rsidR="000F69FE">
        <w:t>135</w:t>
      </w:r>
      <w:r w:rsidR="000F69FE" w:rsidRPr="00CE6424">
        <w:t xml:space="preserve"> «Об установлении</w:t>
      </w:r>
      <w:proofErr w:type="gramEnd"/>
      <w:r w:rsidR="000F69FE" w:rsidRPr="00CE6424">
        <w:t xml:space="preserve"> тарифа на помывку в муниципальной бане»</w:t>
      </w:r>
      <w:r w:rsidR="000F69FE">
        <w:t xml:space="preserve">,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 порядке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lastRenderedPageBreak/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D9678B"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75BD5" w:rsidRPr="00D9678B" w:rsidRDefault="00172250" w:rsidP="00A262B5">
      <w:pPr>
        <w:ind w:firstLine="708"/>
        <w:jc w:val="both"/>
      </w:pPr>
      <w:r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</w:t>
      </w:r>
      <w:r w:rsidRPr="00D9678B">
        <w:lastRenderedPageBreak/>
        <w:t>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F11AA7" w:rsidRPr="00D9678B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A035F5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190D39" w:rsidRDefault="00A035F5" w:rsidP="00A035F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521 790,29014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90D39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190D39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A035F5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190D39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481 349,64313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83 646,424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A035F5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83 646,424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</w:t>
            </w:r>
            <w:r w:rsidR="00B22F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190D39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36C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932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388,54466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E82461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8246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A3FA1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54D4" w:rsidRPr="00D9678B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A65420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7 167,37734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350C92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37 077,202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8B571F">
            <w:pPr>
              <w:autoSpaceDE w:val="0"/>
              <w:autoSpaceDN w:val="0"/>
              <w:adjustRightInd w:val="0"/>
            </w:pPr>
            <w:r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A79D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1.1.43</w:t>
            </w:r>
            <w:r w:rsidRPr="00D9678B">
              <w:rPr>
                <w:b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715AE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83 646,424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A035F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83 646,424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F5" w:rsidRDefault="00A035F5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35F5" w:rsidRDefault="00A035F5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035F5" w:rsidRPr="007B162D" w:rsidRDefault="00A035F5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A035F5" w:rsidRDefault="00A035F5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35F5" w:rsidRDefault="00A035F5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035F5" w:rsidRPr="007B162D" w:rsidRDefault="00A035F5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6B21B2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22F3F" w:rsidRPr="00D9678B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8A79DD" w:rsidRDefault="006B21B2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108,00</w:t>
            </w:r>
            <w:r w:rsidR="005B385A" w:rsidRPr="008A79DD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8A79DD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8A79DD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4C7EB5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5C4DF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70,000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9,950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29,76548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4,86548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4D1B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593,3866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99,9991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B2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100788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3 382,00226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85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81,305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</w:tr>
      <w:tr w:rsidR="00BC4847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721E5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4C7EB5" w:rsidRPr="00D9678B" w:rsidTr="004C7EB5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0721E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775,000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</w:tr>
      <w:tr w:rsidR="003B4DCE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73C00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="000721E5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D17E9" w:rsidP="00274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274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20"/>
                <w:szCs w:val="20"/>
              </w:rPr>
              <w:t>223</w:t>
            </w:r>
            <w:r w:rsidR="00274695">
              <w:rPr>
                <w:b/>
                <w:sz w:val="20"/>
                <w:szCs w:val="20"/>
              </w:rPr>
              <w:t>,</w:t>
            </w:r>
            <w:r w:rsidRPr="007D17E9">
              <w:rPr>
                <w:b/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D1B9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7D17E9" w:rsidP="00852269">
            <w:pPr>
              <w:jc w:val="center"/>
              <w:rPr>
                <w:sz w:val="16"/>
                <w:szCs w:val="16"/>
              </w:rPr>
            </w:pPr>
            <w:r w:rsidRPr="00274695">
              <w:rPr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852269">
            <w:pPr>
              <w:jc w:val="center"/>
              <w:rPr>
                <w:b/>
                <w:bCs/>
                <w:sz w:val="16"/>
                <w:szCs w:val="16"/>
              </w:rPr>
            </w:pPr>
            <w:r w:rsidRPr="007D17E9">
              <w:rPr>
                <w:b/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4C7EB5" w:rsidRDefault="00116039" w:rsidP="00183ED9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116039">
              <w:rPr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семей, </w:t>
            </w:r>
            <w:r w:rsidR="00C7293D">
              <w:rPr>
                <w:b/>
                <w:bCs/>
                <w:sz w:val="18"/>
                <w:szCs w:val="18"/>
              </w:rPr>
              <w:t>ветеранов боевых действий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039" w:rsidRPr="00D9678B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7D17E9" w:rsidP="00A262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</w:tr>
      <w:tr w:rsidR="00116039" w:rsidRPr="00D9678B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116039" w:rsidRPr="00D9678B" w:rsidRDefault="00116039" w:rsidP="00C729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lastRenderedPageBreak/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65420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2 455,99066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65420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388,54466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A65420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65420">
              <w:rPr>
                <w:b/>
                <w:bCs/>
                <w:sz w:val="18"/>
                <w:szCs w:val="18"/>
              </w:rPr>
              <w:t>2 455,99066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A65420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A65420">
              <w:rPr>
                <w:b/>
                <w:bCs/>
                <w:sz w:val="18"/>
                <w:szCs w:val="18"/>
              </w:rPr>
              <w:t>388,54466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82748D" w:rsidP="0079462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82748D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116039" w:rsidP="000721E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BA66B6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721E5" w:rsidRDefault="000721E5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20"/>
                <w:szCs w:val="20"/>
              </w:rPr>
            </w:pPr>
            <w:r w:rsidRPr="008C3C62">
              <w:rPr>
                <w:sz w:val="20"/>
                <w:szCs w:val="20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AD50AC" w:rsidRDefault="007D17E9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</w:t>
            </w:r>
            <w:r w:rsidR="00FA6E9D" w:rsidRPr="008A79DD">
              <w:rPr>
                <w:sz w:val="18"/>
                <w:szCs w:val="18"/>
              </w:rPr>
              <w:t>2</w:t>
            </w:r>
            <w:r w:rsidRPr="008A79DD">
              <w:rPr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1</w:t>
            </w:r>
            <w:r w:rsidR="00FA6E9D" w:rsidRPr="008A79DD">
              <w:rPr>
                <w:b/>
                <w:bCs/>
                <w:sz w:val="18"/>
                <w:szCs w:val="18"/>
              </w:rPr>
              <w:t>2</w:t>
            </w:r>
            <w:r w:rsidRPr="008A79D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116039" w:rsidRPr="00D9678B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BA66B6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BA66B6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A035F5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199 3</w:t>
            </w:r>
            <w:r w:rsidR="00A035F5">
              <w:rPr>
                <w:sz w:val="18"/>
                <w:szCs w:val="18"/>
              </w:rPr>
              <w:t>4</w:t>
            </w:r>
            <w:r w:rsidRPr="008C3C62">
              <w:rPr>
                <w:sz w:val="18"/>
                <w:szCs w:val="18"/>
              </w:rPr>
              <w:t>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A035F5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33 7</w:t>
            </w:r>
            <w:r w:rsidR="00A035F5">
              <w:rPr>
                <w:bCs/>
                <w:sz w:val="18"/>
                <w:szCs w:val="18"/>
              </w:rPr>
              <w:t>9</w:t>
            </w:r>
            <w:r w:rsidRPr="008C3C62">
              <w:rPr>
                <w:bCs/>
                <w:sz w:val="18"/>
                <w:szCs w:val="18"/>
              </w:rPr>
              <w:t>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8A79DD" w:rsidP="00A035F5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199 3</w:t>
            </w:r>
            <w:r w:rsidR="00A035F5">
              <w:rPr>
                <w:b/>
                <w:sz w:val="18"/>
                <w:szCs w:val="18"/>
              </w:rPr>
              <w:t>4</w:t>
            </w:r>
            <w:r w:rsidRPr="008A79DD">
              <w:rPr>
                <w:b/>
                <w:sz w:val="18"/>
                <w:szCs w:val="18"/>
              </w:rPr>
              <w:t>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035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</w:t>
            </w:r>
            <w:r w:rsidR="00A035F5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7D17E9" w:rsidP="00A262B5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A79DD" w:rsidRDefault="007D17E9" w:rsidP="00EC4113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035F5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34 724,15182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035F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4 887,503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A035F5" w:rsidRDefault="00A035F5" w:rsidP="00183ED9">
            <w:pPr>
              <w:jc w:val="center"/>
              <w:rPr>
                <w:b/>
                <w:sz w:val="18"/>
                <w:szCs w:val="18"/>
              </w:rPr>
            </w:pPr>
            <w:r w:rsidRPr="00A035F5">
              <w:rPr>
                <w:b/>
                <w:sz w:val="18"/>
                <w:szCs w:val="18"/>
              </w:rPr>
              <w:t>34 724,15182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A035F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4 887,503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274695" w:rsidP="00D5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41 670,214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A65420" w:rsidP="00183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2 047,54294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FC1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654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241,45534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654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A65420">
              <w:rPr>
                <w:b/>
                <w:bCs/>
                <w:sz w:val="18"/>
                <w:szCs w:val="18"/>
              </w:rPr>
              <w:t> 800,66762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654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7 167,37734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350C92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108 260,62323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3604E2">
            <w:pPr>
              <w:jc w:val="center"/>
              <w:rPr>
                <w:bCs/>
                <w:sz w:val="18"/>
                <w:szCs w:val="18"/>
              </w:rPr>
            </w:pPr>
            <w:r w:rsidRPr="00F06E80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350C92" w:rsidP="00EE04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19 708,614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7D17E9" w:rsidP="00BA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91 761,37121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F06E80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17 368,588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12 409,255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350C92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200 021,99444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28 795,202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72108E" w:rsidRPr="00D9678B" w:rsidTr="00E46EBA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21. </w:t>
            </w:r>
            <w:r w:rsidRPr="00D9678B">
              <w:rPr>
                <w:b/>
                <w:bCs/>
                <w:sz w:val="18"/>
                <w:szCs w:val="18"/>
              </w:rPr>
              <w:t>Оказание адресной материальной помощи</w:t>
            </w:r>
            <w:r>
              <w:rPr>
                <w:b/>
                <w:bCs/>
                <w:sz w:val="18"/>
                <w:szCs w:val="18"/>
              </w:rPr>
              <w:t xml:space="preserve">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jc w:val="center"/>
              <w:rPr>
                <w:bCs/>
                <w:sz w:val="18"/>
                <w:szCs w:val="18"/>
              </w:rPr>
            </w:pPr>
            <w:r w:rsidRPr="005E067B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72108E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BA66B6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BA66B6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35F5" w:rsidRPr="00551CD2" w:rsidTr="00350C92">
        <w:trPr>
          <w:gridAfter w:val="1"/>
          <w:wAfter w:w="7" w:type="dxa"/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190D39" w:rsidRDefault="00A035F5" w:rsidP="00A035F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521 790,29014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90 489,424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5" w:rsidRPr="00D9678B" w:rsidRDefault="00A035F5" w:rsidP="00A035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F5" w:rsidRDefault="00A035F5">
      <w:r>
        <w:separator/>
      </w:r>
    </w:p>
  </w:endnote>
  <w:endnote w:type="continuationSeparator" w:id="0">
    <w:p w:rsidR="00A035F5" w:rsidRDefault="00A0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F5" w:rsidRDefault="00A035F5">
      <w:r>
        <w:separator/>
      </w:r>
    </w:p>
  </w:footnote>
  <w:footnote w:type="continuationSeparator" w:id="0">
    <w:p w:rsidR="00A035F5" w:rsidRDefault="00A0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F5" w:rsidRDefault="00A035F5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5F5" w:rsidRDefault="00A035F5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F5" w:rsidRDefault="00A035F5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A035F5" w:rsidRDefault="00A035F5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F5" w:rsidRDefault="00A035F5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5F5" w:rsidRDefault="00A035F5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F5" w:rsidRDefault="00A035F5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F5" w:rsidRDefault="00A035F5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5F5" w:rsidRDefault="00A035F5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F5" w:rsidRDefault="00A035F5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13C47"/>
    <w:rsid w:val="0001608B"/>
    <w:rsid w:val="000260F3"/>
    <w:rsid w:val="00036819"/>
    <w:rsid w:val="0004301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0F69FE"/>
    <w:rsid w:val="00100788"/>
    <w:rsid w:val="00116039"/>
    <w:rsid w:val="001223AC"/>
    <w:rsid w:val="00124DE0"/>
    <w:rsid w:val="00147617"/>
    <w:rsid w:val="00150A75"/>
    <w:rsid w:val="00160726"/>
    <w:rsid w:val="001715AE"/>
    <w:rsid w:val="00172250"/>
    <w:rsid w:val="001829FE"/>
    <w:rsid w:val="00183ED9"/>
    <w:rsid w:val="00190A83"/>
    <w:rsid w:val="00190D39"/>
    <w:rsid w:val="001A22CB"/>
    <w:rsid w:val="001C1DE2"/>
    <w:rsid w:val="002270C5"/>
    <w:rsid w:val="00235100"/>
    <w:rsid w:val="002419B6"/>
    <w:rsid w:val="00241F7F"/>
    <w:rsid w:val="002655C0"/>
    <w:rsid w:val="0027096F"/>
    <w:rsid w:val="00270E20"/>
    <w:rsid w:val="0027288A"/>
    <w:rsid w:val="00274695"/>
    <w:rsid w:val="002D36A2"/>
    <w:rsid w:val="002D6418"/>
    <w:rsid w:val="002E6828"/>
    <w:rsid w:val="002F33C2"/>
    <w:rsid w:val="002F5189"/>
    <w:rsid w:val="00307B86"/>
    <w:rsid w:val="0031363E"/>
    <w:rsid w:val="00350666"/>
    <w:rsid w:val="00350C92"/>
    <w:rsid w:val="00355B7B"/>
    <w:rsid w:val="003604E2"/>
    <w:rsid w:val="0036125E"/>
    <w:rsid w:val="00381F83"/>
    <w:rsid w:val="0039512B"/>
    <w:rsid w:val="003A3FA1"/>
    <w:rsid w:val="003B04F0"/>
    <w:rsid w:val="003B4DCE"/>
    <w:rsid w:val="003B507A"/>
    <w:rsid w:val="003C690C"/>
    <w:rsid w:val="003D3F1F"/>
    <w:rsid w:val="003F1401"/>
    <w:rsid w:val="00411B77"/>
    <w:rsid w:val="00412E77"/>
    <w:rsid w:val="00414FC6"/>
    <w:rsid w:val="004314B6"/>
    <w:rsid w:val="00445E3E"/>
    <w:rsid w:val="00482CC4"/>
    <w:rsid w:val="004950FC"/>
    <w:rsid w:val="004A0586"/>
    <w:rsid w:val="004C32DA"/>
    <w:rsid w:val="004C7EB5"/>
    <w:rsid w:val="004D1B9D"/>
    <w:rsid w:val="004D549A"/>
    <w:rsid w:val="004D5561"/>
    <w:rsid w:val="005013CE"/>
    <w:rsid w:val="005018EF"/>
    <w:rsid w:val="00507605"/>
    <w:rsid w:val="00525C48"/>
    <w:rsid w:val="00543437"/>
    <w:rsid w:val="00544E11"/>
    <w:rsid w:val="0055358E"/>
    <w:rsid w:val="00570D21"/>
    <w:rsid w:val="005710E5"/>
    <w:rsid w:val="00584D08"/>
    <w:rsid w:val="005B385A"/>
    <w:rsid w:val="005B4DA6"/>
    <w:rsid w:val="005B5A91"/>
    <w:rsid w:val="005C4DFB"/>
    <w:rsid w:val="005E067B"/>
    <w:rsid w:val="00606E72"/>
    <w:rsid w:val="00616184"/>
    <w:rsid w:val="006334C5"/>
    <w:rsid w:val="0064550E"/>
    <w:rsid w:val="006469FA"/>
    <w:rsid w:val="006527B0"/>
    <w:rsid w:val="00652C96"/>
    <w:rsid w:val="0065719E"/>
    <w:rsid w:val="00664A48"/>
    <w:rsid w:val="00681D60"/>
    <w:rsid w:val="006825FD"/>
    <w:rsid w:val="00684DE2"/>
    <w:rsid w:val="006A1D38"/>
    <w:rsid w:val="006B21B2"/>
    <w:rsid w:val="006B59CD"/>
    <w:rsid w:val="006C45F9"/>
    <w:rsid w:val="006C6EEF"/>
    <w:rsid w:val="006D7C60"/>
    <w:rsid w:val="006E2EF9"/>
    <w:rsid w:val="006E6479"/>
    <w:rsid w:val="00705CA3"/>
    <w:rsid w:val="007166A0"/>
    <w:rsid w:val="0072108E"/>
    <w:rsid w:val="00756BB9"/>
    <w:rsid w:val="00773C00"/>
    <w:rsid w:val="00775BD5"/>
    <w:rsid w:val="007944FD"/>
    <w:rsid w:val="0079462B"/>
    <w:rsid w:val="007B3B19"/>
    <w:rsid w:val="007B68DA"/>
    <w:rsid w:val="007B7CE0"/>
    <w:rsid w:val="007D17E9"/>
    <w:rsid w:val="007D42EA"/>
    <w:rsid w:val="007E564E"/>
    <w:rsid w:val="007E5CE6"/>
    <w:rsid w:val="0082748D"/>
    <w:rsid w:val="00851484"/>
    <w:rsid w:val="00852269"/>
    <w:rsid w:val="00861700"/>
    <w:rsid w:val="00863990"/>
    <w:rsid w:val="00886850"/>
    <w:rsid w:val="00892A5D"/>
    <w:rsid w:val="008A79DD"/>
    <w:rsid w:val="008B571F"/>
    <w:rsid w:val="008B7643"/>
    <w:rsid w:val="008C3C62"/>
    <w:rsid w:val="008D2456"/>
    <w:rsid w:val="008E452D"/>
    <w:rsid w:val="008E6C49"/>
    <w:rsid w:val="008F3EB6"/>
    <w:rsid w:val="00914A1E"/>
    <w:rsid w:val="00921B20"/>
    <w:rsid w:val="00927CF4"/>
    <w:rsid w:val="009320BF"/>
    <w:rsid w:val="00937A5B"/>
    <w:rsid w:val="00943C36"/>
    <w:rsid w:val="00951141"/>
    <w:rsid w:val="0095273D"/>
    <w:rsid w:val="00954E58"/>
    <w:rsid w:val="00984736"/>
    <w:rsid w:val="0099327D"/>
    <w:rsid w:val="009A21A3"/>
    <w:rsid w:val="009A5D65"/>
    <w:rsid w:val="009A782A"/>
    <w:rsid w:val="009E719E"/>
    <w:rsid w:val="009F65FB"/>
    <w:rsid w:val="00A02C4F"/>
    <w:rsid w:val="00A035F5"/>
    <w:rsid w:val="00A12F11"/>
    <w:rsid w:val="00A262B5"/>
    <w:rsid w:val="00A41EBB"/>
    <w:rsid w:val="00A430C7"/>
    <w:rsid w:val="00A47D69"/>
    <w:rsid w:val="00A5162B"/>
    <w:rsid w:val="00A65420"/>
    <w:rsid w:val="00A71430"/>
    <w:rsid w:val="00A71C0A"/>
    <w:rsid w:val="00A7451E"/>
    <w:rsid w:val="00A8407A"/>
    <w:rsid w:val="00AB128F"/>
    <w:rsid w:val="00AB35DD"/>
    <w:rsid w:val="00AB6285"/>
    <w:rsid w:val="00AC0EF5"/>
    <w:rsid w:val="00AD50AC"/>
    <w:rsid w:val="00AE36CE"/>
    <w:rsid w:val="00B10252"/>
    <w:rsid w:val="00B12E0B"/>
    <w:rsid w:val="00B16E9D"/>
    <w:rsid w:val="00B22F3F"/>
    <w:rsid w:val="00B241DE"/>
    <w:rsid w:val="00B32869"/>
    <w:rsid w:val="00B33A13"/>
    <w:rsid w:val="00B34396"/>
    <w:rsid w:val="00B36C5B"/>
    <w:rsid w:val="00B5096A"/>
    <w:rsid w:val="00B53C4F"/>
    <w:rsid w:val="00B764E3"/>
    <w:rsid w:val="00B8351B"/>
    <w:rsid w:val="00B87E65"/>
    <w:rsid w:val="00BA66B6"/>
    <w:rsid w:val="00BB7BBA"/>
    <w:rsid w:val="00BC4847"/>
    <w:rsid w:val="00BD4227"/>
    <w:rsid w:val="00BE359C"/>
    <w:rsid w:val="00BF3A89"/>
    <w:rsid w:val="00C0066A"/>
    <w:rsid w:val="00C02FB0"/>
    <w:rsid w:val="00C149F2"/>
    <w:rsid w:val="00C17CF3"/>
    <w:rsid w:val="00C32388"/>
    <w:rsid w:val="00C45784"/>
    <w:rsid w:val="00C7293D"/>
    <w:rsid w:val="00C77B9A"/>
    <w:rsid w:val="00CB453F"/>
    <w:rsid w:val="00CD1DAC"/>
    <w:rsid w:val="00CE488A"/>
    <w:rsid w:val="00CE6424"/>
    <w:rsid w:val="00D252AE"/>
    <w:rsid w:val="00D27FE4"/>
    <w:rsid w:val="00D30091"/>
    <w:rsid w:val="00D46172"/>
    <w:rsid w:val="00D5237F"/>
    <w:rsid w:val="00D61845"/>
    <w:rsid w:val="00D84F37"/>
    <w:rsid w:val="00D93E6C"/>
    <w:rsid w:val="00D9678B"/>
    <w:rsid w:val="00DA13D5"/>
    <w:rsid w:val="00DB0CD7"/>
    <w:rsid w:val="00DB7A36"/>
    <w:rsid w:val="00DC0B00"/>
    <w:rsid w:val="00DC5E3C"/>
    <w:rsid w:val="00DE11A3"/>
    <w:rsid w:val="00DF250D"/>
    <w:rsid w:val="00DF74F1"/>
    <w:rsid w:val="00E00995"/>
    <w:rsid w:val="00E108A9"/>
    <w:rsid w:val="00E17EAE"/>
    <w:rsid w:val="00E46EBA"/>
    <w:rsid w:val="00E47271"/>
    <w:rsid w:val="00E55F24"/>
    <w:rsid w:val="00E61F39"/>
    <w:rsid w:val="00E82461"/>
    <w:rsid w:val="00E873FA"/>
    <w:rsid w:val="00E951DB"/>
    <w:rsid w:val="00EA461A"/>
    <w:rsid w:val="00EB168F"/>
    <w:rsid w:val="00EC4113"/>
    <w:rsid w:val="00ED18CD"/>
    <w:rsid w:val="00EE040F"/>
    <w:rsid w:val="00EF68FC"/>
    <w:rsid w:val="00F06E80"/>
    <w:rsid w:val="00F11AA7"/>
    <w:rsid w:val="00F1375B"/>
    <w:rsid w:val="00F143E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A6E9D"/>
    <w:rsid w:val="00FC10BF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7285-98D0-4A20-BC26-1F16AF76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5914</Words>
  <Characters>43464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Елизавета</cp:lastModifiedBy>
  <cp:revision>2</cp:revision>
  <cp:lastPrinted>2023-03-09T05:52:00Z</cp:lastPrinted>
  <dcterms:created xsi:type="dcterms:W3CDTF">2023-04-27T04:54:00Z</dcterms:created>
  <dcterms:modified xsi:type="dcterms:W3CDTF">2023-04-27T04:54:00Z</dcterms:modified>
</cp:coreProperties>
</file>