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3069"/>
        <w:gridCol w:w="1259"/>
        <w:gridCol w:w="1116"/>
      </w:tblGrid>
      <w:tr w:rsidR="009C7A5C">
        <w:trPr>
          <w:trHeight w:val="270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9C7A5C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9C7A5C">
        <w:trPr>
          <w:trHeight w:val="27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ПОЯСНИТЕЛЬНАЯ ЗАПИСКА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</w:tr>
      <w:tr w:rsidR="009C7A5C">
        <w:trPr>
          <w:trHeight w:val="255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 отчету об исполнении консолидированного бюджета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</w:p>
        </w:tc>
      </w:tr>
      <w:tr w:rsidR="009C7A5C">
        <w:trPr>
          <w:trHeight w:val="28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0503360</w:t>
            </w:r>
          </w:p>
        </w:tc>
      </w:tr>
      <w:tr w:rsidR="009C7A5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                        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   1 января 2023 г.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Дата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01.01.2023</w:t>
            </w:r>
          </w:p>
        </w:tc>
      </w:tr>
      <w:tr w:rsidR="009C7A5C">
        <w:trPr>
          <w:trHeight w:val="300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C7A5C">
        <w:trPr>
          <w:trHeight w:val="19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9C7A5C">
            <w:pPr>
              <w:rPr>
                <w:sz w:val="20"/>
              </w:rPr>
            </w:pPr>
          </w:p>
        </w:tc>
      </w:tr>
      <w:tr w:rsidR="009C7A5C">
        <w:trPr>
          <w:trHeight w:val="15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финансового органа Мосальский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9C7A5C">
            <w:pPr>
              <w:rPr>
                <w:sz w:val="16"/>
              </w:rPr>
            </w:pPr>
          </w:p>
        </w:tc>
      </w:tr>
      <w:tr w:rsidR="009C7A5C">
        <w:trPr>
          <w:trHeight w:val="2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Courier New" w:eastAsia="Courier New" w:hAnsi="Courier New" w:cs="Courier New"/>
                <w:b/>
                <w:sz w:val="16"/>
                <w:szCs w:val="16"/>
              </w:rPr>
              <w:t>  </w:t>
            </w:r>
          </w:p>
          <w:p w:rsidR="009C7A5C" w:rsidRDefault="000B3EC6">
            <w:pPr>
              <w:spacing w:line="22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бюджета Бюджет муниципальных районов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spacing w:line="22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ОКТМО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spacing w:line="22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29629000</w:t>
            </w:r>
          </w:p>
        </w:tc>
      </w:tr>
      <w:tr w:rsidR="009C7A5C">
        <w:trPr>
          <w:trHeight w:val="315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Периодичность:   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месячная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C7A5C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по ОКЕИ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</w:t>
            </w:r>
          </w:p>
        </w:tc>
      </w:tr>
      <w:tr w:rsidR="009C7A5C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</w:tr>
      <w:tr w:rsidR="009C7A5C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9C7A5C" w:rsidRDefault="000B3EC6">
      <w:pPr>
        <w:numPr>
          <w:ilvl w:val="0"/>
          <w:numId w:val="1"/>
        </w:numPr>
        <w:spacing w:line="276" w:lineRule="auto"/>
        <w:ind w:left="500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Calibri" w:eastAsia="Calibri" w:hAnsi="Calibri" w:cs="Calibri"/>
          <w:color w:val="000000"/>
        </w:rPr>
        <w:t>  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«Организационная структура субъекта бюджетной отчетности».</w:t>
      </w:r>
    </w:p>
    <w:p w:rsidR="009C7A5C" w:rsidRDefault="000B3EC6">
      <w:pPr>
        <w:numPr>
          <w:ilvl w:val="0"/>
          <w:numId w:val="1"/>
        </w:numPr>
        <w:spacing w:line="276" w:lineRule="auto"/>
        <w:ind w:left="500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«Результаты деятельности субъекта бюджетной отчетности»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9C7A5C" w:rsidRDefault="000B3EC6">
      <w:pPr>
        <w:ind w:left="14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                     3.Анализ отчета об исполнении бюджета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субъектом  бюджетной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отчетности.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         Консолидированный бюджет муниципального района «Мосальский район» за 2022 год по доходам исполнен в объеме 610 935,8 тыс. рублей, исполнение к уточненному плану составило 95,4% (план 640 137,7 тыс. рублей). Уменьшение доходной части в сравнении с 2021 годом на 45 374,4 тыс. рублей (факт 2021 г. – 656 310,2 тыс. рублей), темп роста – 93,1%.</w:t>
      </w:r>
      <w:r>
        <w:rPr>
          <w:rFonts w:ascii="Calibri" w:eastAsia="Calibri" w:hAnsi="Calibri" w:cs="Calibri"/>
          <w:b/>
          <w:color w:val="000000"/>
          <w:sz w:val="26"/>
          <w:szCs w:val="26"/>
        </w:rPr>
        <w:t xml:space="preserve"> 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Поступление налоговых и неналоговых доходов составило 161 145,5 тыс. рублей, темп роста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101,6%.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сравнении с 2021 годом доходы увеличились на 2 557,3 тыс. рублей (факт 2021 г. – 158 588,2 тыс. рублей). Исполнение к уточненному плану составило 96,5%. 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Налоговые доходы возросли по сравнению с прошлым годом на 7 754,4 тыс. рублей, темп роста – 105,5%, их объем составил 148 215,0 тыс. рублей. Рост произошел, в основном, по налогу на доходы физических лиц на 10 731,7 тыс. рублей и по акцизам по подакцизным товарам. Производимым на территории РФ – на 3 779,0 тыс. рублей. 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Неналоговые доходы исполнены с темпом роста к уровню 2021 года на 71,2%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или уменьшение на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5 197,1 тыс.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рублей. В целом их объем составил 12 830,5 тыс. рублей.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Безвозмездные поступления к уточненному плану исполнены на 95,1%,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их объем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составил 449 790,3 тыс. рублей, к аналогичному периоду прошлого года произошло снижение поступлений на 47 931,7 тыс. рублей (факт 2021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497 722,0 тыс. рублей), в основном в результате поступлений средств по переселению из ветхого и аварийного жилья в 2021 году.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Расходы консолидированного бюджета исполнены в сумме 627 473,3 тыс. рублей, что ниже уровня 2021 года на 18 335,6 тыс. рублей (факт 2021 – 645 808,8 тыс. рублей) или темп роста – 97,2%. Исполнение к уточненному плану составило 95,2%.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По-прежнему расходная часть бюджета имеет социальную направленность, на что выделено 413 173,2 тыс. рублей или 65,8%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от общих расходов, из которых: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образование – 225 959,0 тыс. рублей;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культура – 64 295,2 тыс. рублей;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социальная политика – 119 869,6 тыс. рублей;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- физическая культура и спорт – 3 049,4 тыс. рублей.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Программным методом расходы осуществлены в сумме 621 750,1 тыс. рублей или на 99,1%.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Майские Указы Президента РФ в части оплаты труда отдельных категорий работников, предусмотренных в планах мероприятий «дорожных картах», как и в предыдущие годы, выполнены в полном объеме.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рамках реализации национальных проектов в 2022 году на территории района реализованы национальные проекты: «Демография», «Культура» – региональный проект – «Обеспечение качественно нового уровня инфраструктуры культуры «Культурная среда», «Жилье и городская среда» – формирование комфортной городской среды 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7F7F7"/>
        </w:rPr>
        <w:t>программа расселения аварийного жилого фонда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7F7F7"/>
        </w:rPr>
        <w:t>.</w:t>
      </w:r>
      <w:r>
        <w:rPr>
          <w:rFonts w:ascii="Times New Roman" w:eastAsia="Times New Roman" w:hAnsi="Times New Roman" w:cs="Times New Roman"/>
          <w:color w:val="222222"/>
          <w:sz w:val="26"/>
        </w:rPr>
        <w:br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Все запланированные работы и социальные выплаты завершены и выплачены в полном объеме и в установленные законодательством сроки.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целях решения отдельных локальных проблем и вопросов в поселениях применяются механизмы инициативного бюджетирования с привлечением средств местных сообществ. Все 11 поселений участвовали в конкурсе на реализацию проектов развития общественной инфраструктуры муниципальных образований, основанных на местных инициативах, в котором предусматривалось выделение субсидий на реализацию наиболее важных для поселения проектов. Работы выполнены на сумму 10 980,0 тыс. рублей.</w:t>
      </w:r>
    </w:p>
    <w:p w:rsidR="009C7A5C" w:rsidRDefault="000B3EC6">
      <w:pPr>
        <w:ind w:firstLine="700"/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Консолидированный бюджет исполнен с дефицитом – (-) 16 537,5 тыс. рублей.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9C7A5C" w:rsidRDefault="000B3EC6">
      <w:pPr>
        <w:numPr>
          <w:ilvl w:val="0"/>
          <w:numId w:val="2"/>
        </w:numPr>
        <w:spacing w:line="276" w:lineRule="auto"/>
        <w:ind w:left="500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«Анализ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показателей  бухгалтерской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отчетности  субъекта бюджетной отчетности»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    Сведения о движении нефинансовых активов консолидированного бюджета (ф.0503368). Стоимость основных средств консолидированного бюджета на конец 2022 года по сравнению с началом 2022 года увеличилась на 25 237,7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Увеличение  произошло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 счет увеличения  стоимости нежилых помещений, машин и оборудования, производственного и хозяйственного инвентаря. Стоимость непроизведенных активов (земля) на конец года не изменилась и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составила  69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344,5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Стоимость нефинансовых активов, составляющих имущество казны увеличились на 1439,0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   Сведения о дебиторской и кредиторской задолженности (ф.0503369). Дебиторская задолженность на конец года уменьшилась на 2 148,2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., в том числе на 193,6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произошло увеличение дебиторской 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задолженности за счет перечисления авансовых платежей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электро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теплоэнергию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Просроченная дебиторская задолженность также уменьшилась на 353,0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(это задолженность по расчетам по земельному налогу с организаций и физических лиц). Кредиторская задолженность так же уменьшилась. Просроченной кредиторской задолженности нет.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      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форме 0503371G «Сведения о финансовых вложениях» в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сумме  3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280,0  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отражены взносы в уставный фонд муниципальных предприятий, в том числе: 1970,0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– МУП ЖКХ МР «Мосальский район», 1310,0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- МП КЭТ и ГС МР «Мосальский район».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В «Сведениях о государственном (муниципальном) долге,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предоставленых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бюджетных кредитах консолидированного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бюджета»  (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ф.0503372) отражена задолженность по бюджетному кредиту в сумме 2990,0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 (Договор о предоставлении бюджету муниципального района «Мосальский район» бюджетного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кредита  от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18.07.2022   №02-04/283-22к)  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В отчете 0503321 Отчет о финансовых результатах деятельности отражены отрицательные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показатели  по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строке 093 Чрезвычайные доходы от операций с активами КОСГУ 173 в сумме  -162 407,26 руб. по: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Бюджеты городских поселений          -10 158,63 руб.: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МИФНС №4 (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г.Мосальск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) в сумме        -10 158,63 руб.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Бюджеты сельских поселений             -152 248,63 руб.: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МИФНС №4 по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бюджетам  сельских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поселений - 152 248,63 руб.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       В Сведениях об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изменении  остатков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валюты баланса (ф.0503373) отражены изменения с справке  изменение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забалансовых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счетах в сумме 571,1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по сомнительной задолженности - код причины 03 - исправление ошибок прошлых лет.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 Сведения об остатках денежных средств на счетах получателя бюджетных средств (ф.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0503378  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отражены остатки по счету 32011000  на начало года – 518,5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и 611,3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 на конец года.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   В сведениях о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вложениях  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объекты недвижимого имущества, объектах незавершенного строительства (ф.490) значения на конец года отсутствуют.</w:t>
      </w:r>
    </w:p>
    <w:p w:rsidR="009C7A5C" w:rsidRDefault="000B3EC6">
      <w:pPr>
        <w:jc w:val="both"/>
        <w:rPr>
          <w:rFonts w:ascii="Courier New" w:eastAsia="Courier New" w:hAnsi="Courier New" w:cs="Courier New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     Сведения об исполнении судебных решений по денежным обязательствам учреждения (ф.0503295) не имеют числовых значений.</w:t>
      </w:r>
    </w:p>
    <w:p w:rsidR="009C7A5C" w:rsidRDefault="000B3EC6">
      <w:pPr>
        <w:rPr>
          <w:rFonts w:ascii="Courier New" w:eastAsia="Courier New" w:hAnsi="Courier New" w:cs="Courier New"/>
        </w:rPr>
      </w:pPr>
      <w:r>
        <w:rPr>
          <w:rFonts w:ascii="Calibri" w:eastAsia="Calibri" w:hAnsi="Calibri" w:cs="Calibri"/>
          <w:color w:val="000000"/>
        </w:rPr>
        <w:t> </w:t>
      </w:r>
    </w:p>
    <w:p w:rsidR="009C7A5C" w:rsidRDefault="009C7A5C"/>
    <w:tbl>
      <w:tblPr>
        <w:tblW w:w="0" w:type="auto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5"/>
        <w:gridCol w:w="1053"/>
        <w:gridCol w:w="2267"/>
      </w:tblGrid>
      <w:tr w:rsidR="009C7A5C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Шишкова Т.И.</w:t>
            </w:r>
          </w:p>
        </w:tc>
      </w:tr>
      <w:tr w:rsidR="009C7A5C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C7A5C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</w:tr>
      <w:tr w:rsidR="009C7A5C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C7A5C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7A5C">
        <w:trPr>
          <w:trHeight w:val="40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Рожкова О.П.</w:t>
            </w:r>
          </w:p>
        </w:tc>
      </w:tr>
      <w:tr w:rsidR="009C7A5C">
        <w:trPr>
          <w:trHeight w:val="281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9C7A5C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9C7A5C">
        <w:trPr>
          <w:trHeight w:val="281"/>
        </w:trPr>
        <w:tc>
          <w:tcPr>
            <w:tcW w:w="0" w:type="auto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7A5C" w:rsidRDefault="000B3EC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</w:tr>
    </w:tbl>
    <w:p w:rsidR="009C7A5C" w:rsidRDefault="000B3EC6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Исполнитель(Шишкова Тамара Ивановна, Сертификат: 00ECE41C3B663092BF1F7C0767ABDCF52B, Действителен: с 06.07.2022 по 29.09.2023)        </w:t>
      </w:r>
    </w:p>
    <w:sectPr w:rsidR="009C7A5C" w:rsidSect="007C4D2E">
      <w:pgSz w:w="12240" w:h="15840"/>
      <w:pgMar w:top="850" w:right="426" w:bottom="709" w:left="284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34A323"/>
    <w:multiLevelType w:val="hybridMultilevel"/>
    <w:tmpl w:val="97F66242"/>
    <w:lvl w:ilvl="0" w:tplc="2432C1E6">
      <w:start w:val="1"/>
      <w:numFmt w:val="decimal"/>
      <w:lvlText w:val="%1."/>
      <w:lvlJc w:val="left"/>
      <w:pPr>
        <w:ind w:left="720" w:hanging="360"/>
      </w:pPr>
    </w:lvl>
    <w:lvl w:ilvl="1" w:tplc="50AE4584">
      <w:start w:val="1"/>
      <w:numFmt w:val="decimal"/>
      <w:lvlText w:val="%2."/>
      <w:lvlJc w:val="left"/>
      <w:pPr>
        <w:ind w:left="1440" w:hanging="360"/>
      </w:pPr>
    </w:lvl>
    <w:lvl w:ilvl="2" w:tplc="5EE23777">
      <w:start w:val="1"/>
      <w:numFmt w:val="decimal"/>
      <w:lvlText w:val="%3."/>
      <w:lvlJc w:val="left"/>
      <w:pPr>
        <w:ind w:left="2160" w:hanging="360"/>
      </w:pPr>
    </w:lvl>
    <w:lvl w:ilvl="3" w:tplc="1F095D1F">
      <w:start w:val="1"/>
      <w:numFmt w:val="decimal"/>
      <w:lvlText w:val="%4."/>
      <w:lvlJc w:val="left"/>
      <w:pPr>
        <w:ind w:left="2880" w:hanging="360"/>
      </w:pPr>
    </w:lvl>
    <w:lvl w:ilvl="4" w:tplc="3C5D12C7">
      <w:start w:val="1"/>
      <w:numFmt w:val="decimal"/>
      <w:lvlText w:val="%5."/>
      <w:lvlJc w:val="left"/>
      <w:pPr>
        <w:ind w:left="3600" w:hanging="360"/>
      </w:pPr>
    </w:lvl>
    <w:lvl w:ilvl="5" w:tplc="520E715C">
      <w:start w:val="1"/>
      <w:numFmt w:val="decimal"/>
      <w:lvlText w:val="%6."/>
      <w:lvlJc w:val="left"/>
      <w:pPr>
        <w:ind w:left="4320" w:hanging="360"/>
      </w:pPr>
    </w:lvl>
    <w:lvl w:ilvl="6" w:tplc="4EB587C2">
      <w:start w:val="1"/>
      <w:numFmt w:val="decimal"/>
      <w:lvlText w:val="%7."/>
      <w:lvlJc w:val="left"/>
      <w:pPr>
        <w:ind w:left="5040" w:hanging="360"/>
      </w:pPr>
    </w:lvl>
    <w:lvl w:ilvl="7" w:tplc="74994185">
      <w:start w:val="1"/>
      <w:numFmt w:val="decimal"/>
      <w:lvlText w:val="%8."/>
      <w:lvlJc w:val="left"/>
      <w:pPr>
        <w:ind w:left="5760" w:hanging="360"/>
      </w:pPr>
    </w:lvl>
    <w:lvl w:ilvl="8" w:tplc="23ADB80C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7EF9975D"/>
    <w:multiLevelType w:val="hybridMultilevel"/>
    <w:tmpl w:val="C58E75B2"/>
    <w:lvl w:ilvl="0" w:tplc="24D0A69F">
      <w:start w:val="4"/>
      <w:numFmt w:val="decimal"/>
      <w:lvlText w:val="%1."/>
      <w:lvlJc w:val="left"/>
      <w:pPr>
        <w:ind w:left="720" w:hanging="360"/>
      </w:pPr>
    </w:lvl>
    <w:lvl w:ilvl="1" w:tplc="133D4E83">
      <w:start w:val="1"/>
      <w:numFmt w:val="decimal"/>
      <w:lvlText w:val="%2."/>
      <w:lvlJc w:val="left"/>
      <w:pPr>
        <w:ind w:left="1440" w:hanging="360"/>
      </w:pPr>
    </w:lvl>
    <w:lvl w:ilvl="2" w:tplc="459B4015">
      <w:start w:val="1"/>
      <w:numFmt w:val="decimal"/>
      <w:lvlText w:val="%3."/>
      <w:lvlJc w:val="left"/>
      <w:pPr>
        <w:ind w:left="2160" w:hanging="360"/>
      </w:pPr>
    </w:lvl>
    <w:lvl w:ilvl="3" w:tplc="18BB6B8B">
      <w:start w:val="1"/>
      <w:numFmt w:val="decimal"/>
      <w:lvlText w:val="%4."/>
      <w:lvlJc w:val="left"/>
      <w:pPr>
        <w:ind w:left="2880" w:hanging="360"/>
      </w:pPr>
    </w:lvl>
    <w:lvl w:ilvl="4" w:tplc="42AA1787">
      <w:start w:val="1"/>
      <w:numFmt w:val="decimal"/>
      <w:lvlText w:val="%5."/>
      <w:lvlJc w:val="left"/>
      <w:pPr>
        <w:ind w:left="3600" w:hanging="360"/>
      </w:pPr>
    </w:lvl>
    <w:lvl w:ilvl="5" w:tplc="6347532C">
      <w:start w:val="1"/>
      <w:numFmt w:val="decimal"/>
      <w:lvlText w:val="%6."/>
      <w:lvlJc w:val="left"/>
      <w:pPr>
        <w:ind w:left="4320" w:hanging="360"/>
      </w:pPr>
    </w:lvl>
    <w:lvl w:ilvl="6" w:tplc="6F7154F7">
      <w:start w:val="1"/>
      <w:numFmt w:val="decimal"/>
      <w:lvlText w:val="%7."/>
      <w:lvlJc w:val="left"/>
      <w:pPr>
        <w:ind w:left="5040" w:hanging="360"/>
      </w:pPr>
    </w:lvl>
    <w:lvl w:ilvl="7" w:tplc="0738F2AF">
      <w:start w:val="1"/>
      <w:numFmt w:val="decimal"/>
      <w:lvlText w:val="%8."/>
      <w:lvlJc w:val="left"/>
      <w:pPr>
        <w:ind w:left="5760" w:hanging="360"/>
      </w:pPr>
    </w:lvl>
    <w:lvl w:ilvl="8" w:tplc="1B99545C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A5C"/>
    <w:rsid w:val="000B3EC6"/>
    <w:rsid w:val="007C4D2E"/>
    <w:rsid w:val="009C7A5C"/>
    <w:rsid w:val="00A2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48AAB-69CA-4210-AD44-72DD77BC8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2023-03-24T11:10:00Z</dcterms:created>
  <dcterms:modified xsi:type="dcterms:W3CDTF">2023-03-24T11:41:00Z</dcterms:modified>
</cp:coreProperties>
</file>