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Default="00FA1E35" w:rsidP="00FA1E35">
      <w:pPr>
        <w:ind w:firstLine="0"/>
        <w:jc w:val="right"/>
        <w:rPr>
          <w:rFonts w:ascii="Times New Roman" w:hAnsi="Times New Roman"/>
          <w:b/>
          <w:sz w:val="28"/>
          <w:szCs w:val="28"/>
        </w:rPr>
      </w:pPr>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w:t>
      </w:r>
      <w:r w:rsidR="00815ABE" w:rsidRPr="006F589C">
        <w:rPr>
          <w:rFonts w:ascii="Times New Roman" w:hAnsi="Times New Roman"/>
          <w:sz w:val="28"/>
          <w:szCs w:val="28"/>
        </w:rPr>
        <w:lastRenderedPageBreak/>
        <w:t>и иных</w:t>
      </w:r>
      <w:r w:rsidR="004053AA" w:rsidRPr="006F589C">
        <w:rPr>
          <w:rFonts w:ascii="Times New Roman" w:hAnsi="Times New Roman"/>
          <w:sz w:val="28"/>
          <w:szCs w:val="28"/>
        </w:rPr>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980A5D"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замещаемая им</w:t>
      </w:r>
      <w:r w:rsidR="00DF784F" w:rsidRPr="006F589C">
        <w:rPr>
          <w:rFonts w:ascii="Times New Roman" w:hAnsi="Times New Roman"/>
          <w:sz w:val="28"/>
          <w:szCs w:val="28"/>
        </w:rPr>
        <w:t xml:space="preserve"> на указанную дату</w:t>
      </w:r>
      <w:r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 xml:space="preserve">(работника)21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Форма справки о доходах, расходах, об имуществе и обязательствах имущественного характера утверждена Указом Президента Российской Федерацииот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(занимаемая)31декабря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 xml:space="preserve">сельского поселениявысшему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Pr="006F589C">
        <w:rPr>
          <w:rFonts w:ascii="Times New Roman" w:hAnsi="Times New Roman"/>
          <w:sz w:val="28"/>
          <w:szCs w:val="28"/>
        </w:rPr>
        <w:t>в качестве</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672214" w:rsidRPr="006F589C">
        <w:rPr>
          <w:rFonts w:ascii="Times New Roman" w:hAnsi="Times New Roman"/>
          <w:sz w:val="28"/>
          <w:szCs w:val="28"/>
        </w:rPr>
        <w:t xml:space="preserve">указываетсявеличина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 xml:space="preserve">льности,полученных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w:t>
      </w:r>
      <w:r w:rsidR="00344858" w:rsidRPr="006F589C">
        <w:rPr>
          <w:rFonts w:ascii="Times New Roman" w:hAnsi="Times New Roman"/>
          <w:sz w:val="28"/>
          <w:szCs w:val="28"/>
        </w:rPr>
        <w:lastRenderedPageBreak/>
        <w:t>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 xml:space="preserve">зачета стоимости старого транспортного средства в стоимость при покупке новогопо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003327" w:rsidRDefault="00003327" w:rsidP="00003327">
      <w:pPr>
        <w:tabs>
          <w:tab w:val="left" w:pos="1276"/>
        </w:tabs>
        <w:rPr>
          <w:rFonts w:ascii="Times New Roman" w:hAnsi="Times New Roman"/>
          <w:sz w:val="28"/>
          <w:szCs w:val="28"/>
        </w:rPr>
      </w:pPr>
    </w:p>
    <w:p w:rsidR="00003327" w:rsidRDefault="00003327" w:rsidP="00003327">
      <w:pPr>
        <w:tabs>
          <w:tab w:val="left" w:pos="1276"/>
        </w:tabs>
        <w:rPr>
          <w:rFonts w:ascii="Times New Roman" w:hAnsi="Times New Roman"/>
          <w:sz w:val="28"/>
          <w:szCs w:val="28"/>
        </w:rPr>
      </w:pPr>
    </w:p>
    <w:p w:rsidR="00003327" w:rsidRDefault="00003327" w:rsidP="00003327">
      <w:pPr>
        <w:tabs>
          <w:tab w:val="left" w:pos="1276"/>
        </w:tabs>
        <w:rPr>
          <w:rFonts w:ascii="Times New Roman" w:hAnsi="Times New Roman"/>
          <w:sz w:val="28"/>
          <w:szCs w:val="28"/>
        </w:rPr>
      </w:pPr>
    </w:p>
    <w:p w:rsidR="00003327" w:rsidRDefault="00003327" w:rsidP="00003327">
      <w:pPr>
        <w:tabs>
          <w:tab w:val="left" w:pos="1276"/>
        </w:tabs>
        <w:rPr>
          <w:rFonts w:ascii="Times New Roman" w:hAnsi="Times New Roman"/>
          <w:sz w:val="28"/>
          <w:szCs w:val="28"/>
        </w:rPr>
      </w:pPr>
    </w:p>
    <w:p w:rsidR="00003327" w:rsidRDefault="00003327" w:rsidP="00003327">
      <w:pPr>
        <w:tabs>
          <w:tab w:val="left" w:pos="1276"/>
        </w:tabs>
        <w:rPr>
          <w:rFonts w:ascii="Times New Roman" w:hAnsi="Times New Roman"/>
          <w:sz w:val="28"/>
          <w:szCs w:val="28"/>
        </w:rPr>
      </w:pPr>
    </w:p>
    <w:p w:rsidR="00003327" w:rsidRDefault="00003327" w:rsidP="00003327">
      <w:pPr>
        <w:tabs>
          <w:tab w:val="left" w:pos="1276"/>
        </w:tabs>
        <w:rPr>
          <w:rFonts w:ascii="Times New Roman" w:hAnsi="Times New Roman"/>
          <w:sz w:val="28"/>
          <w:szCs w:val="28"/>
        </w:rPr>
      </w:pPr>
    </w:p>
    <w:p w:rsidR="00003327" w:rsidRDefault="00003327" w:rsidP="00003327">
      <w:pPr>
        <w:tabs>
          <w:tab w:val="left" w:pos="1276"/>
        </w:tabs>
        <w:rPr>
          <w:rFonts w:ascii="Times New Roman" w:hAnsi="Times New Roman"/>
          <w:sz w:val="28"/>
          <w:szCs w:val="28"/>
        </w:rPr>
      </w:pPr>
    </w:p>
    <w:p w:rsidR="00003327" w:rsidRDefault="00003327" w:rsidP="00003327">
      <w:pPr>
        <w:tabs>
          <w:tab w:val="left" w:pos="1276"/>
        </w:tabs>
        <w:rPr>
          <w:rFonts w:ascii="Times New Roman" w:hAnsi="Times New Roman"/>
          <w:sz w:val="28"/>
          <w:szCs w:val="28"/>
        </w:rPr>
      </w:pPr>
    </w:p>
    <w:p w:rsidR="00003327" w:rsidRPr="00003327" w:rsidRDefault="00003327" w:rsidP="00003327">
      <w:pPr>
        <w:tabs>
          <w:tab w:val="left" w:pos="1276"/>
        </w:tabs>
        <w:rPr>
          <w:rFonts w:ascii="Times New Roman" w:hAnsi="Times New Roman"/>
          <w:sz w:val="28"/>
          <w:szCs w:val="28"/>
        </w:rPr>
      </w:pP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lastRenderedPageBreak/>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кешбэк</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w:t>
      </w:r>
      <w:r w:rsidRPr="006F589C">
        <w:rPr>
          <w:rFonts w:ascii="Times New Roman" w:eastAsia="Times New Roman" w:hAnsi="Times New Roman"/>
          <w:sz w:val="28"/>
          <w:szCs w:val="28"/>
          <w:lang w:eastAsia="ru-RU"/>
        </w:rPr>
        <w:lastRenderedPageBreak/>
        <w:t xml:space="preserve">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w:t>
      </w:r>
      <w:r w:rsidRPr="006F589C">
        <w:rPr>
          <w:rFonts w:ascii="Times New Roman" w:hAnsi="Times New Roman"/>
          <w:bCs/>
          <w:color w:val="000000"/>
          <w:sz w:val="28"/>
          <w:szCs w:val="28"/>
        </w:rPr>
        <w:lastRenderedPageBreak/>
        <w:t>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Во всех остальных случаях учитывается только доход служащего (работника)</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w:t>
      </w:r>
      <w:r w:rsidRPr="006F589C">
        <w:rPr>
          <w:rFonts w:ascii="Times New Roman" w:hAnsi="Times New Roman"/>
          <w:sz w:val="28"/>
          <w:szCs w:val="28"/>
        </w:rPr>
        <w:lastRenderedPageBreak/>
        <w:t xml:space="preserve">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w:t>
      </w:r>
      <w:r w:rsidRPr="006F589C">
        <w:rPr>
          <w:rFonts w:ascii="Times New Roman" w:hAnsi="Times New Roman"/>
          <w:sz w:val="28"/>
          <w:szCs w:val="28"/>
        </w:rPr>
        <w:lastRenderedPageBreak/>
        <w:t>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w:t>
      </w:r>
      <w:r w:rsidRPr="006F589C">
        <w:rPr>
          <w:rFonts w:ascii="Times New Roman" w:hAnsi="Times New Roman"/>
          <w:sz w:val="28"/>
          <w:szCs w:val="28"/>
        </w:rPr>
        <w:lastRenderedPageBreak/>
        <w:t>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lastRenderedPageBreak/>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1" w:name="Par8"/>
      <w:bookmarkEnd w:id="1"/>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lastRenderedPageBreak/>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 xml:space="preserve">Правил государственной регистрации транспортных средств </w:t>
      </w:r>
      <w:r w:rsidR="00BD676D" w:rsidRPr="006F589C">
        <w:rPr>
          <w:rFonts w:ascii="Times New Roman" w:hAnsi="Times New Roman"/>
          <w:sz w:val="28"/>
          <w:szCs w:val="28"/>
        </w:rPr>
        <w:lastRenderedPageBreak/>
        <w:t>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096ED3" w:rsidRPr="006F589C">
        <w:rPr>
          <w:rFonts w:ascii="Times New Roman" w:hAnsi="Times New Roman"/>
          <w:color w:val="000000"/>
          <w:sz w:val="28"/>
          <w:szCs w:val="28"/>
        </w:rPr>
        <w:t>При заполнении графы</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w:t>
      </w:r>
      <w:r w:rsidRPr="006F589C">
        <w:rPr>
          <w:rFonts w:ascii="Times New Roman" w:hAnsi="Times New Roman"/>
          <w:sz w:val="28"/>
          <w:szCs w:val="28"/>
        </w:rPr>
        <w:lastRenderedPageBreak/>
        <w:t>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F589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00AA3CA3" w:rsidRPr="006F589C">
        <w:rPr>
          <w:rStyle w:val="a8"/>
          <w:rFonts w:ascii="Times New Roman" w:hAnsi="Times New Roman" w:cs="Times New Roman"/>
          <w:color w:val="000000"/>
          <w:sz w:val="28"/>
          <w:szCs w:val="28"/>
        </w:rPr>
        <w:t xml:space="preserve">Банком России издано Указание от 15 апреля2020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Расчетная </w:t>
            </w:r>
            <w:r w:rsidRPr="006F589C">
              <w:rPr>
                <w:rFonts w:ascii="Times New Roman" w:hAnsi="Times New Roman"/>
                <w:sz w:val="28"/>
              </w:rPr>
              <w:lastRenderedPageBreak/>
              <w:t>(дебетовая)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lastRenderedPageBreak/>
              <w:t xml:space="preserve">Как электронное средство платежа используется для совершения </w:t>
            </w:r>
            <w:r w:rsidRPr="006F589C">
              <w:rPr>
                <w:rFonts w:ascii="Times New Roman" w:hAnsi="Times New Roman"/>
                <w:sz w:val="28"/>
              </w:rPr>
              <w:lastRenderedPageBreak/>
              <w:t>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lastRenderedPageBreak/>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416C46" w:rsidRPr="006F589C">
        <w:rPr>
          <w:rFonts w:ascii="Times New Roman" w:hAnsi="Times New Roman"/>
          <w:sz w:val="28"/>
        </w:rPr>
        <w:t>500000 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w:t>
      </w:r>
      <w:r w:rsidRPr="006F589C">
        <w:rPr>
          <w:rFonts w:ascii="Times New Roman" w:hAnsi="Times New Roman"/>
          <w:sz w:val="28"/>
          <w:szCs w:val="28"/>
        </w:rPr>
        <w:lastRenderedPageBreak/>
        <w:t xml:space="preserve">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 xml:space="preserve">зи </w:t>
      </w:r>
      <w:r w:rsidRPr="006F589C">
        <w:rPr>
          <w:rFonts w:ascii="Times New Roman" w:hAnsi="Times New Roman"/>
          <w:sz w:val="28"/>
          <w:szCs w:val="28"/>
        </w:rPr>
        <w:lastRenderedPageBreak/>
        <w:t>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2" w:name="Par619"/>
      <w:bookmarkEnd w:id="2"/>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3" w:name="Par620"/>
      <w:bookmarkEnd w:id="3"/>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w:t>
      </w:r>
      <w:r w:rsidR="00C370E3" w:rsidRPr="006F589C">
        <w:rPr>
          <w:rFonts w:ascii="Times New Roman" w:hAnsi="Times New Roman"/>
          <w:sz w:val="28"/>
          <w:szCs w:val="28"/>
        </w:rPr>
        <w:lastRenderedPageBreak/>
        <w:t>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отсутствует фактическое пользование этим объектом супругом</w:t>
      </w:r>
      <w:r w:rsidR="004B0AB7" w:rsidRPr="006F589C">
        <w:rPr>
          <w:rFonts w:ascii="Times New Roman" w:hAnsi="Times New Roman"/>
          <w:sz w:val="28"/>
          <w:szCs w:val="28"/>
        </w:rPr>
        <w:t>;</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5" w:name="Par627"/>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w:t>
      </w:r>
      <w:r w:rsidRPr="006F589C">
        <w:rPr>
          <w:rFonts w:ascii="Times New Roman" w:hAnsi="Times New Roman"/>
          <w:sz w:val="28"/>
          <w:szCs w:val="28"/>
        </w:rPr>
        <w:lastRenderedPageBreak/>
        <w:t>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6" w:name="Par629"/>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6F589C">
        <w:rPr>
          <w:rFonts w:ascii="Times New Roman" w:hAnsi="Times New Roman"/>
          <w:sz w:val="28"/>
          <w:szCs w:val="28"/>
        </w:rPr>
        <w:lastRenderedPageBreak/>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Сумма обязательства / размер обязательства по состоянию 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lastRenderedPageBreak/>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sz w:val="28"/>
          <w:szCs w:val="28"/>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w:t>
      </w:r>
      <w:r w:rsidRPr="006F589C">
        <w:rPr>
          <w:rFonts w:ascii="Times New Roman" w:hAnsi="Times New Roman"/>
          <w:sz w:val="28"/>
          <w:szCs w:val="28"/>
        </w:rPr>
        <w:lastRenderedPageBreak/>
        <w:t>договоре сумма обязательств не разделена, то следует отразить всю сумму обязательств, а в графе 6 названного подраздела указать созаемщиков.</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Об организации страхового дела в Российской 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w:t>
      </w:r>
      <w:r w:rsidR="00D526B3" w:rsidRPr="006F589C">
        <w:rPr>
          <w:rFonts w:ascii="Times New Roman" w:hAnsi="Times New Roman"/>
          <w:sz w:val="28"/>
          <w:szCs w:val="28"/>
        </w:rPr>
        <w:lastRenderedPageBreak/>
        <w:t>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w:t>
      </w:r>
      <w:r w:rsidR="00B2437B" w:rsidRPr="006F589C">
        <w:rPr>
          <w:rFonts w:ascii="Times New Roman" w:hAnsi="Times New Roman"/>
          <w:sz w:val="28"/>
          <w:szCs w:val="28"/>
        </w:rPr>
        <w:lastRenderedPageBreak/>
        <w:t xml:space="preserve">фондахрекомендуется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6</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lastRenderedPageBreak/>
        <w:t>"</w:t>
      </w:r>
      <w:r w:rsidRPr="006F589C">
        <w:rPr>
          <w:rStyle w:val="a8"/>
          <w:rFonts w:ascii="Times New Roman" w:hAnsi="Times New Roman" w:cs="Times New Roman"/>
          <w:sz w:val="28"/>
          <w:szCs w:val="28"/>
          <w:shd w:val="clear" w:color="auto" w:fill="auto"/>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w:t>
      </w:r>
      <w:r w:rsidRPr="006F589C">
        <w:rPr>
          <w:rStyle w:val="a8"/>
          <w:rFonts w:ascii="Times New Roman" w:hAnsi="Times New Roman" w:cs="Times New Roman"/>
          <w:sz w:val="28"/>
          <w:szCs w:val="28"/>
          <w:shd w:val="clear" w:color="auto" w:fill="auto"/>
        </w:rPr>
        <w:lastRenderedPageBreak/>
        <w:t>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w:t>
      </w:r>
      <w:r w:rsidRPr="006F589C">
        <w:rPr>
          <w:rStyle w:val="a8"/>
          <w:rFonts w:ascii="Times New Roman" w:hAnsi="Times New Roman" w:cs="Times New Roman"/>
          <w:sz w:val="28"/>
          <w:szCs w:val="28"/>
          <w:shd w:val="clear" w:color="auto" w:fill="auto"/>
        </w:rPr>
        <w:lastRenderedPageBreak/>
        <w:t>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bookmarkStart w:id="9" w:name="_GoBack"/>
      <w:bookmarkEnd w:id="9"/>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AF0" w:rsidRDefault="00353AF0" w:rsidP="00204BB5">
      <w:r>
        <w:separator/>
      </w:r>
    </w:p>
  </w:endnote>
  <w:endnote w:type="continuationSeparator" w:id="1">
    <w:p w:rsidR="00353AF0" w:rsidRDefault="00353AF0"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AF0" w:rsidRDefault="00353AF0" w:rsidP="00204BB5">
      <w:r>
        <w:separator/>
      </w:r>
    </w:p>
  </w:footnote>
  <w:footnote w:type="continuationSeparator" w:id="1">
    <w:p w:rsidR="00353AF0" w:rsidRDefault="00353AF0"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327" w:rsidRDefault="00003327">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9D311A">
      <w:rPr>
        <w:rFonts w:ascii="Times New Roman" w:hAnsi="Times New Roman"/>
        <w:noProof/>
        <w:sz w:val="28"/>
        <w:szCs w:val="28"/>
      </w:rPr>
      <w:t>24</w:t>
    </w:r>
    <w:r w:rsidRPr="00204BB5">
      <w:rPr>
        <w:rFonts w:ascii="Times New Roman" w:hAnsi="Times New Roman"/>
        <w:sz w:val="28"/>
        <w:szCs w:val="28"/>
      </w:rPr>
      <w:fldChar w:fldCharType="end"/>
    </w:r>
  </w:p>
  <w:p w:rsidR="00003327" w:rsidRDefault="0000332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1CCE"/>
    <w:rsid w:val="000032B2"/>
    <w:rsid w:val="00003327"/>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676DA"/>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3F6F"/>
    <w:rsid w:val="00334FC2"/>
    <w:rsid w:val="00335481"/>
    <w:rsid w:val="00336738"/>
    <w:rsid w:val="003372D5"/>
    <w:rsid w:val="00341F86"/>
    <w:rsid w:val="00344858"/>
    <w:rsid w:val="00345FD8"/>
    <w:rsid w:val="00346F3F"/>
    <w:rsid w:val="003474D2"/>
    <w:rsid w:val="00350859"/>
    <w:rsid w:val="00351641"/>
    <w:rsid w:val="00352667"/>
    <w:rsid w:val="0035322F"/>
    <w:rsid w:val="00353AF0"/>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03F8"/>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311A"/>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DB7"/>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741D421-9170-480C-95F4-B71DDEDD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21224</Words>
  <Characters>120980</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141921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Buh</cp:lastModifiedBy>
  <cp:revision>4</cp:revision>
  <cp:lastPrinted>2021-03-02T12:06:00Z</cp:lastPrinted>
  <dcterms:created xsi:type="dcterms:W3CDTF">2021-02-18T07:06:00Z</dcterms:created>
  <dcterms:modified xsi:type="dcterms:W3CDTF">2021-03-02T12:19:00Z</dcterms:modified>
</cp:coreProperties>
</file>